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A584" w14:textId="2DC2D202" w:rsidR="008222C5" w:rsidRPr="00EB7F5A" w:rsidRDefault="00762880" w:rsidP="009E4862">
      <w:pPr>
        <w:pStyle w:val="TtiuloComunicacin"/>
      </w:pPr>
      <w:r>
        <w:rPr>
          <w:rStyle w:val="Ttulodellibro"/>
        </w:rPr>
        <w:t>Evaluación para el aprendizaje en la universidad, desde el enfoque de educación inclusiva</w:t>
      </w:r>
      <w:r w:rsidR="008222C5" w:rsidRPr="006230DA">
        <w:rPr>
          <w:rStyle w:val="Ttulodellibro"/>
        </w:rPr>
        <w:t xml:space="preserve"> </w:t>
      </w:r>
    </w:p>
    <w:p w14:paraId="5E8D9557" w14:textId="4BCCC29C" w:rsidR="008222C5" w:rsidRPr="00EB7F5A" w:rsidRDefault="00762880" w:rsidP="00EB7F5A">
      <w:pPr>
        <w:pStyle w:val="Autores"/>
        <w:rPr>
          <w:lang w:val="es-ES_tradnl"/>
        </w:rPr>
      </w:pPr>
      <w:r>
        <w:rPr>
          <w:lang w:val="es-ES_tradnl"/>
        </w:rPr>
        <w:t>Tanya VALENZUELA AVERRUZ</w:t>
      </w:r>
      <w:r>
        <w:rPr>
          <w:rStyle w:val="Refdenotaalpie"/>
          <w:lang w:val="es-ES_tradnl"/>
        </w:rPr>
        <w:footnoteReference w:id="1"/>
      </w:r>
    </w:p>
    <w:p w14:paraId="78A70305" w14:textId="23477D3E" w:rsidR="008222C5" w:rsidRPr="00EB7F5A" w:rsidRDefault="008222C5" w:rsidP="00EB7F5A">
      <w:pPr>
        <w:pStyle w:val="Afiliacin"/>
        <w:rPr>
          <w:lang w:val="es-ES_tradnl"/>
        </w:rPr>
      </w:pPr>
      <w:r w:rsidRPr="00EB7F5A">
        <w:rPr>
          <w:vertAlign w:val="superscript"/>
          <w:lang w:val="es-ES_tradnl"/>
        </w:rPr>
        <w:t>1</w:t>
      </w:r>
      <w:r w:rsidRPr="00EB7F5A">
        <w:rPr>
          <w:lang w:val="es-ES_tradnl"/>
        </w:rPr>
        <w:t>D</w:t>
      </w:r>
      <w:r w:rsidR="00762880">
        <w:rPr>
          <w:lang w:val="es-ES_tradnl"/>
        </w:rPr>
        <w:t xml:space="preserve">irección Académica de la Universidad Americana de Nicaragua </w:t>
      </w:r>
    </w:p>
    <w:p w14:paraId="3A2BBD8B" w14:textId="2B57A866" w:rsidR="008222C5" w:rsidRDefault="00851B5F" w:rsidP="00EB7F5A">
      <w:pPr>
        <w:pStyle w:val="Email"/>
        <w:rPr>
          <w:lang w:val="es-ES_tradnl"/>
        </w:rPr>
      </w:pPr>
      <w:hyperlink r:id="rId8" w:history="1">
        <w:r w:rsidR="00762880" w:rsidRPr="002E463B">
          <w:rPr>
            <w:rStyle w:val="Hipervnculo"/>
            <w:lang w:val="es-ES_tradnl"/>
          </w:rPr>
          <w:t>tanya.valenzuela@uam.edu.ni</w:t>
        </w:r>
      </w:hyperlink>
      <w:r w:rsidR="00762880">
        <w:rPr>
          <w:lang w:val="es-ES_tradnl"/>
        </w:rPr>
        <w:t xml:space="preserve"> </w:t>
      </w:r>
      <w:r w:rsidR="008222C5" w:rsidRPr="00EB7F5A">
        <w:rPr>
          <w:lang w:val="es-ES_tradnl"/>
        </w:rPr>
        <w:t xml:space="preserve"> </w:t>
      </w:r>
    </w:p>
    <w:p w14:paraId="099DA0BA" w14:textId="5509892F" w:rsidR="009E4862" w:rsidRDefault="009E4862" w:rsidP="00090BB6">
      <w:pPr>
        <w:pStyle w:val="Lnea"/>
      </w:pPr>
      <w:r>
        <w:t>Línea</w:t>
      </w:r>
      <w:r w:rsidR="00090BB6">
        <w:t xml:space="preserve">: </w:t>
      </w:r>
      <w:r w:rsidR="00762880" w:rsidRPr="00762880">
        <w:rPr>
          <w:color w:val="B31513" w:themeColor="accent1"/>
        </w:rPr>
        <w:t>Didácticas y ambientes de aprendizaje accesibles y con afectividad</w:t>
      </w:r>
    </w:p>
    <w:p w14:paraId="4F5B9B72" w14:textId="793BA429" w:rsidR="004A2B4F" w:rsidRPr="00BD502E" w:rsidRDefault="004A2B4F" w:rsidP="00090BB6">
      <w:pPr>
        <w:pStyle w:val="Lnea"/>
      </w:pPr>
      <w:r>
        <w:t xml:space="preserve">Tipo de comunicación: </w:t>
      </w:r>
      <w:r w:rsidRPr="00186161">
        <w:rPr>
          <w:color w:val="B31513" w:themeColor="accent1"/>
        </w:rPr>
        <w:t>Ponencia</w:t>
      </w:r>
    </w:p>
    <w:p w14:paraId="3B135889" w14:textId="358048C2" w:rsidR="008222C5" w:rsidRPr="00EB7F5A" w:rsidRDefault="00B93241" w:rsidP="00EB7F5A">
      <w:pPr>
        <w:pStyle w:val="Ttulo1"/>
        <w:rPr>
          <w:lang w:val="es-ES_tradnl"/>
        </w:rPr>
      </w:pPr>
      <w:r>
        <w:rPr>
          <w:lang w:val="es-ES_tradnl"/>
        </w:rPr>
        <w:t>Resumen</w:t>
      </w:r>
    </w:p>
    <w:p w14:paraId="4DAE72C4" w14:textId="20E27FFA" w:rsidR="004A0417" w:rsidRDefault="00B66A95" w:rsidP="00EB7F5A">
      <w:pPr>
        <w:rPr>
          <w:lang w:val="es-ES_tradnl"/>
        </w:rPr>
      </w:pPr>
      <w:r w:rsidRPr="00B66A95">
        <w:rPr>
          <w:lang w:val="es-ES_tradnl"/>
        </w:rPr>
        <w:t xml:space="preserve">El presente estudio tiene como objetivo explorar los principales diseños y acciones de evaluación </w:t>
      </w:r>
      <w:r>
        <w:rPr>
          <w:lang w:val="es-ES_tradnl"/>
        </w:rPr>
        <w:t xml:space="preserve">inclusiva </w:t>
      </w:r>
      <w:r w:rsidRPr="00B66A95">
        <w:rPr>
          <w:lang w:val="es-ES_tradnl"/>
        </w:rPr>
        <w:t xml:space="preserve">que implementa el profesorado </w:t>
      </w:r>
      <w:r>
        <w:rPr>
          <w:lang w:val="es-ES_tradnl"/>
        </w:rPr>
        <w:t>de la Universidad Americana de Nicaragua</w:t>
      </w:r>
      <w:r w:rsidRPr="00B66A95">
        <w:rPr>
          <w:lang w:val="es-ES_tradnl"/>
        </w:rPr>
        <w:t xml:space="preserve"> en sus aulas. En la investigación participaron </w:t>
      </w:r>
      <w:r w:rsidR="00C37619">
        <w:rPr>
          <w:lang w:val="es-ES_tradnl"/>
        </w:rPr>
        <w:t>12</w:t>
      </w:r>
      <w:r w:rsidRPr="00B66A95">
        <w:rPr>
          <w:lang w:val="es-ES_tradnl"/>
        </w:rPr>
        <w:t xml:space="preserve"> docentes de </w:t>
      </w:r>
      <w:r>
        <w:rPr>
          <w:lang w:val="es-ES_tradnl"/>
        </w:rPr>
        <w:t>las diferentes carreras</w:t>
      </w:r>
      <w:r w:rsidRPr="00B66A95">
        <w:rPr>
          <w:lang w:val="es-ES_tradnl"/>
        </w:rPr>
        <w:t xml:space="preserve">. Mediante una metodología cualitativa, se empleó la entrevista </w:t>
      </w:r>
      <w:r w:rsidR="00C37619">
        <w:rPr>
          <w:lang w:val="es-ES_tradnl"/>
        </w:rPr>
        <w:t xml:space="preserve">grupal </w:t>
      </w:r>
      <w:r w:rsidRPr="00B66A95">
        <w:rPr>
          <w:lang w:val="es-ES_tradnl"/>
        </w:rPr>
        <w:t>semiestructurada para la recolección de datos, los cuales fueron analizados de manera inductiva utilizando un sistema de categorías y códigos</w:t>
      </w:r>
      <w:r>
        <w:rPr>
          <w:lang w:val="es-ES_tradnl"/>
        </w:rPr>
        <w:t>.</w:t>
      </w:r>
      <w:r w:rsidRPr="00B66A95">
        <w:rPr>
          <w:lang w:val="es-ES_tradnl"/>
        </w:rPr>
        <w:t xml:space="preserve"> Los resultados evidencian la existencia de docentes comprometidos tanto con la educación </w:t>
      </w:r>
      <w:r>
        <w:rPr>
          <w:lang w:val="es-ES_tradnl"/>
        </w:rPr>
        <w:t xml:space="preserve">inclusiva </w:t>
      </w:r>
      <w:r w:rsidRPr="00B66A95">
        <w:rPr>
          <w:lang w:val="es-ES_tradnl"/>
        </w:rPr>
        <w:t xml:space="preserve">como con la calidad y equidad en sus procesos de enseñanza. Las acciones documentadas en este estudio resaltan el uso de estrategias evaluativas en diferentes momentos, la participación activa </w:t>
      </w:r>
      <w:r w:rsidR="004A0417">
        <w:rPr>
          <w:lang w:val="es-ES_tradnl"/>
        </w:rPr>
        <w:t xml:space="preserve">del estudiantado </w:t>
      </w:r>
      <w:r w:rsidRPr="00B66A95">
        <w:rPr>
          <w:lang w:val="es-ES_tradnl"/>
        </w:rPr>
        <w:t xml:space="preserve">en la evaluación y la realización de ajustes adaptados a sus necesidades. </w:t>
      </w:r>
    </w:p>
    <w:p w14:paraId="3B0F3BA6" w14:textId="2193098F" w:rsidR="008222C5" w:rsidRPr="00EB7F5A" w:rsidRDefault="008222C5" w:rsidP="00EB7F5A">
      <w:pPr>
        <w:rPr>
          <w:lang w:val="es-ES_tradnl"/>
        </w:rPr>
      </w:pPr>
      <w:r w:rsidRPr="00EB7F5A">
        <w:rPr>
          <w:b/>
          <w:bCs/>
          <w:lang w:val="es-ES_tradnl"/>
        </w:rPr>
        <w:t>Palabras clave</w:t>
      </w:r>
      <w:r w:rsidRPr="00EB7F5A">
        <w:rPr>
          <w:lang w:val="es-ES_tradnl"/>
        </w:rPr>
        <w:t xml:space="preserve">: </w:t>
      </w:r>
      <w:r w:rsidR="00762880">
        <w:rPr>
          <w:lang w:val="es-ES_tradnl"/>
        </w:rPr>
        <w:t xml:space="preserve">Evaluación, Aprendizaje, Educación inclusiva, </w:t>
      </w:r>
      <w:r w:rsidR="008F316D">
        <w:rPr>
          <w:lang w:val="es-ES_tradnl"/>
        </w:rPr>
        <w:t>Universidad</w:t>
      </w:r>
    </w:p>
    <w:p w14:paraId="52702399" w14:textId="738546CA" w:rsidR="008222C5" w:rsidRPr="00EF0C1B" w:rsidRDefault="003A7005" w:rsidP="00EB7F5A">
      <w:pPr>
        <w:pStyle w:val="Ttulo1"/>
        <w:rPr>
          <w:lang w:val="en-US"/>
        </w:rPr>
      </w:pPr>
      <w:r w:rsidRPr="00EF0C1B">
        <w:rPr>
          <w:lang w:val="en-US"/>
        </w:rPr>
        <w:t>Abstract</w:t>
      </w:r>
    </w:p>
    <w:p w14:paraId="6F4A5777" w14:textId="77777777" w:rsidR="008F316D" w:rsidRDefault="008F316D" w:rsidP="00EB7F5A">
      <w:pPr>
        <w:rPr>
          <w:lang w:val="en-US"/>
        </w:rPr>
      </w:pPr>
      <w:r w:rsidRPr="008F316D">
        <w:rPr>
          <w:lang w:val="en-US"/>
        </w:rPr>
        <w:t xml:space="preserve">The objective of this study is to explore the main inclusive evaluation designs and actions implemented by the teaching staff of the American University of Nicaragua in their classrooms. 12 teachers from different careers participated in the research. Using a qualitative methodology, the semi-structured group interview was used to collect data, which were analyzed inductively using a system of categories and </w:t>
      </w:r>
      <w:r w:rsidRPr="008F316D">
        <w:rPr>
          <w:lang w:val="en-US"/>
        </w:rPr>
        <w:lastRenderedPageBreak/>
        <w:t>codes. The results show the existence of teachers committed to both inclusive education and quality and equity in their teaching processes. The actions documented in this study highlight the use of evaluation strategies at different times, the active participation of the students in the evaluation and the making of adjustments adapted to their needs.</w:t>
      </w:r>
    </w:p>
    <w:p w14:paraId="69859003" w14:textId="5D610D5C" w:rsidR="008222C5" w:rsidRPr="00EB7F5A" w:rsidRDefault="008222C5" w:rsidP="00EB7F5A">
      <w:pPr>
        <w:rPr>
          <w:lang w:val="en-GB"/>
        </w:rPr>
      </w:pPr>
      <w:r w:rsidRPr="00EB7F5A">
        <w:rPr>
          <w:b/>
          <w:bCs/>
          <w:lang w:val="en-GB"/>
        </w:rPr>
        <w:t>Key words</w:t>
      </w:r>
      <w:r w:rsidRPr="00EB7F5A">
        <w:rPr>
          <w:lang w:val="en-GB"/>
        </w:rPr>
        <w:t xml:space="preserve">: </w:t>
      </w:r>
      <w:r w:rsidR="004A0417" w:rsidRPr="004A0417">
        <w:rPr>
          <w:lang w:val="en-GB"/>
        </w:rPr>
        <w:t>Evaluation, Learning, Inclusive education, Higher education.</w:t>
      </w:r>
    </w:p>
    <w:p w14:paraId="43F2C251" w14:textId="6CD8A56A" w:rsidR="008222C5" w:rsidRPr="00EB7F5A" w:rsidRDefault="004A0417" w:rsidP="00EB7F5A">
      <w:pPr>
        <w:pStyle w:val="Ttulo1"/>
        <w:rPr>
          <w:lang w:val="es-ES_tradnl"/>
        </w:rPr>
      </w:pPr>
      <w:r>
        <w:rPr>
          <w:lang w:val="es-ES_tradnl"/>
        </w:rPr>
        <w:t>INTRODUCCIÓN</w:t>
      </w:r>
    </w:p>
    <w:p w14:paraId="3ADEC013" w14:textId="49706872" w:rsidR="004A0417" w:rsidRDefault="004A0417" w:rsidP="00EB7F5A">
      <w:pPr>
        <w:rPr>
          <w:lang w:val="es-ES_tradnl"/>
        </w:rPr>
      </w:pPr>
      <w:r w:rsidRPr="004A0417">
        <w:rPr>
          <w:lang w:val="es-ES_tradnl"/>
        </w:rPr>
        <w:t xml:space="preserve">Al igual que en otros contextos internacionales, el gobierno </w:t>
      </w:r>
      <w:r>
        <w:rPr>
          <w:lang w:val="es-ES_tradnl"/>
        </w:rPr>
        <w:t>nicaragüense</w:t>
      </w:r>
      <w:r w:rsidRPr="004A0417">
        <w:rPr>
          <w:lang w:val="es-ES_tradnl"/>
        </w:rPr>
        <w:t xml:space="preserve"> ha adquirido el firme compromiso de incrementar las opciones de acceso y permanencia en educación superior para el </w:t>
      </w:r>
      <w:r>
        <w:rPr>
          <w:lang w:val="es-ES_tradnl"/>
        </w:rPr>
        <w:t xml:space="preserve">estudiantado </w:t>
      </w:r>
      <w:r w:rsidRPr="004A0417">
        <w:rPr>
          <w:lang w:val="es-ES_tradnl"/>
        </w:rPr>
        <w:t xml:space="preserve">en riesgo de exclusión. Esto ha supuesto que </w:t>
      </w:r>
      <w:r>
        <w:rPr>
          <w:lang w:val="es-ES_tradnl"/>
        </w:rPr>
        <w:t xml:space="preserve">en los últimos años se ha evidenciado un </w:t>
      </w:r>
      <w:r w:rsidRPr="004A0417">
        <w:rPr>
          <w:lang w:val="es-ES_tradnl"/>
        </w:rPr>
        <w:t xml:space="preserve">aumento de la demanda en </w:t>
      </w:r>
      <w:r>
        <w:rPr>
          <w:lang w:val="es-ES_tradnl"/>
        </w:rPr>
        <w:t xml:space="preserve">la educación superior </w:t>
      </w:r>
      <w:r w:rsidRPr="004A0417">
        <w:rPr>
          <w:lang w:val="es-ES_tradnl"/>
        </w:rPr>
        <w:t xml:space="preserve">por parte del </w:t>
      </w:r>
      <w:r>
        <w:rPr>
          <w:lang w:val="es-ES_tradnl"/>
        </w:rPr>
        <w:t>estudiantado con discapacidad cognitiva y física.</w:t>
      </w:r>
      <w:r w:rsidRPr="004A0417">
        <w:rPr>
          <w:lang w:val="es-ES_tradnl"/>
        </w:rPr>
        <w:t xml:space="preserve"> Consecuentemente, los términos inclusión y diversidad han ocupado un espacio importante en los discursos académicos, políticos y legislativos</w:t>
      </w:r>
      <w:r w:rsidR="00BF652D">
        <w:rPr>
          <w:lang w:val="es-ES_tradnl"/>
        </w:rPr>
        <w:t xml:space="preserve"> (</w:t>
      </w:r>
      <w:r w:rsidR="00BF652D" w:rsidRPr="009C7FCB">
        <w:rPr>
          <w:highlight w:val="yellow"/>
          <w:lang w:val="es-ES_tradnl"/>
        </w:rPr>
        <w:t>Estrategia Nacional de Educación, 2024)</w:t>
      </w:r>
      <w:r w:rsidRPr="009C7FCB">
        <w:rPr>
          <w:highlight w:val="yellow"/>
          <w:lang w:val="es-ES_tradnl"/>
        </w:rPr>
        <w:t>.</w:t>
      </w:r>
    </w:p>
    <w:p w14:paraId="246F1FCD" w14:textId="4878A0EC" w:rsidR="00BF652D" w:rsidRDefault="00BF652D" w:rsidP="00BF652D">
      <w:pPr>
        <w:rPr>
          <w:lang w:val="es-ES_tradnl"/>
        </w:rPr>
      </w:pPr>
      <w:r w:rsidRPr="00BF652D">
        <w:rPr>
          <w:lang w:val="es-ES_tradnl"/>
        </w:rPr>
        <w:t xml:space="preserve">En el contexto académico de Nicaragua, particularmente en la Universidad Americana (UAM), las partes interesadas en el desarrollo de una educación superior inclusiva y de calidad —el gobierno, la institución universitaria y el profesorado— han </w:t>
      </w:r>
      <w:r w:rsidR="008F316D">
        <w:rPr>
          <w:lang w:val="es-ES_tradnl"/>
        </w:rPr>
        <w:t xml:space="preserve">propuesto </w:t>
      </w:r>
      <w:r w:rsidRPr="00BF652D">
        <w:rPr>
          <w:lang w:val="es-ES_tradnl"/>
        </w:rPr>
        <w:t>diversas responsabilidades para enfrentar los retos educativos actuales. Estas incluyen: a)</w:t>
      </w:r>
      <w:r w:rsidR="00F477F1">
        <w:rPr>
          <w:lang w:val="es-ES_tradnl"/>
        </w:rPr>
        <w:t xml:space="preserve"> </w:t>
      </w:r>
      <w:r w:rsidRPr="00BF652D">
        <w:rPr>
          <w:lang w:val="es-ES_tradnl"/>
        </w:rPr>
        <w:t>mejorar la</w:t>
      </w:r>
      <w:r w:rsidR="00F477F1">
        <w:rPr>
          <w:lang w:val="es-ES_tradnl"/>
        </w:rPr>
        <w:t xml:space="preserve"> accesibilidad a las personas con discapacidades a la educación superior</w:t>
      </w:r>
      <w:r w:rsidRPr="00BF652D">
        <w:rPr>
          <w:lang w:val="es-ES_tradnl"/>
        </w:rPr>
        <w:t xml:space="preserve">; b) </w:t>
      </w:r>
      <w:r w:rsidR="00F477F1">
        <w:rPr>
          <w:lang w:val="es-ES_tradnl"/>
        </w:rPr>
        <w:t>fortalecer las políticas de bienestar estudiantil para el</w:t>
      </w:r>
      <w:r w:rsidRPr="00BF652D">
        <w:rPr>
          <w:lang w:val="es-ES_tradnl"/>
        </w:rPr>
        <w:t xml:space="preserve"> apoyo al estudiantado con discapacidad, facilitando su integración y éxito académico; c) desarrollar planes de estudio que se ajusten tanto a las necesidades del estudiantado como a las exigencias del mercado laboral; d) ofrecer espacios de participación activa al estudiantado para fortalecer su implicación en la vida universitaria; e) incorporar nuevas tecnologías en el currículo académico, promoviendo la competencia digital como herramienta clave para la inclusión; f) desarrollar programas formativos dirigidos al profesorado en el ámbito de la educación inclusiva, dotándolos de herramientas pedagógicas adecuadas; y g) ajustar las metodologías y </w:t>
      </w:r>
      <w:r w:rsidRPr="00BF652D">
        <w:rPr>
          <w:lang w:val="es-ES_tradnl"/>
        </w:rPr>
        <w:lastRenderedPageBreak/>
        <w:t>evaluaciones del estudiantado para asegurar una enseñanza flexible y accesible para todos.</w:t>
      </w:r>
    </w:p>
    <w:p w14:paraId="5C1845FF" w14:textId="77777777" w:rsidR="00F477F1" w:rsidRPr="00F477F1" w:rsidRDefault="00F477F1" w:rsidP="00F477F1">
      <w:pPr>
        <w:rPr>
          <w:lang w:val="es-ES_tradnl"/>
        </w:rPr>
      </w:pPr>
      <w:r w:rsidRPr="00F477F1">
        <w:rPr>
          <w:lang w:val="es-ES_tradnl"/>
        </w:rPr>
        <w:t xml:space="preserve">En el contexto de la Universidad Americana de Managua (UAM), resulta clave abordar los desafíos de la evaluación inclusiva como un componente esencial de una pedagogía inclusiva. Siguiendo la línea de estudios como los de </w:t>
      </w:r>
      <w:r w:rsidRPr="009C7FCB">
        <w:rPr>
          <w:highlight w:val="yellow"/>
          <w:lang w:val="es-ES_tradnl"/>
        </w:rPr>
        <w:t>Cotán, Aguirre, Morgado y Melero (2021),</w:t>
      </w:r>
      <w:r w:rsidRPr="00F477F1">
        <w:rPr>
          <w:lang w:val="es-ES_tradnl"/>
        </w:rPr>
        <w:t xml:space="preserve"> la implementación de programas inclusivos no se limita únicamente al diseño y aplicación de metodologías participativas y accesibles, sino que también incluye la evaluación como un elemento crucial para asegurar la equidad en el proceso de enseñanza-aprendizaje.</w:t>
      </w:r>
    </w:p>
    <w:p w14:paraId="473BC949" w14:textId="344DAD5C" w:rsidR="00F477F1" w:rsidRPr="00F477F1" w:rsidRDefault="00F477F1" w:rsidP="00F477F1">
      <w:pPr>
        <w:rPr>
          <w:lang w:val="es-ES_tradnl"/>
        </w:rPr>
      </w:pPr>
      <w:r w:rsidRPr="00F477F1">
        <w:rPr>
          <w:lang w:val="es-ES_tradnl"/>
        </w:rPr>
        <w:t>A pesar de los esfuerzos por promover la inclusión, investigaciones recientes han revelado que las evaluaciones tradicionales, centradas en pruebas estandarizadas, tiempo limitado y falta de recursos adaptados, continúan siendo una barrera significativa para estudiantes con discapacidad (</w:t>
      </w:r>
      <w:r w:rsidRPr="009C7FCB">
        <w:rPr>
          <w:highlight w:val="yellow"/>
          <w:lang w:val="es-ES_tradnl"/>
        </w:rPr>
        <w:t>Aguirre, Carballo y López-</w:t>
      </w:r>
      <w:proofErr w:type="spellStart"/>
      <w:r w:rsidRPr="009C7FCB">
        <w:rPr>
          <w:highlight w:val="yellow"/>
          <w:lang w:val="es-ES_tradnl"/>
        </w:rPr>
        <w:t>Gavira</w:t>
      </w:r>
      <w:proofErr w:type="spellEnd"/>
      <w:r w:rsidRPr="009C7FCB">
        <w:rPr>
          <w:highlight w:val="yellow"/>
          <w:lang w:val="es-ES_tradnl"/>
        </w:rPr>
        <w:t>, 2021</w:t>
      </w:r>
      <w:r w:rsidRPr="00F477F1">
        <w:rPr>
          <w:lang w:val="es-ES_tradnl"/>
        </w:rPr>
        <w:t>). En la UAM, aunque se reconoce la importancia de realizar ajustes en las evaluaciones para garantizar que todos los estudiantes puedan alcanzar las competencias esperadas, al igual que en otras instituciones, estos ajustes suelen depender de la disposición individual del profesorado, lo que genera desigualdades en la implementación de las políticas inclusivas.</w:t>
      </w:r>
    </w:p>
    <w:p w14:paraId="00C6687B" w14:textId="77777777" w:rsidR="00F477F1" w:rsidRPr="00F477F1" w:rsidRDefault="00F477F1" w:rsidP="00F477F1">
      <w:pPr>
        <w:rPr>
          <w:lang w:val="es-ES_tradnl"/>
        </w:rPr>
      </w:pPr>
      <w:r w:rsidRPr="00F477F1">
        <w:rPr>
          <w:lang w:val="es-ES_tradnl"/>
        </w:rPr>
        <w:t xml:space="preserve">La experiencia en Nicaragua, como en otros contextos, refleja la necesidad urgente de desarrollar normativas claras que regulen los ajustes necesarios en la evaluación y que promuevan la formación continua del profesorado en esta materia. En muchas ocasiones, la falta de conocimiento sobre cómo adaptar las evaluaciones o la percepción de que esto compromete la "justicia evaluativa" lleva a que el profesorado no realice los cambios requeridos, excluyendo a estudiantes con discapacidad del pleno acceso a los procesos de aprendizaje </w:t>
      </w:r>
      <w:r w:rsidRPr="009C7FCB">
        <w:rPr>
          <w:highlight w:val="yellow"/>
          <w:lang w:val="es-ES_tradnl"/>
        </w:rPr>
        <w:t>(</w:t>
      </w:r>
      <w:proofErr w:type="spellStart"/>
      <w:r w:rsidRPr="009C7FCB">
        <w:rPr>
          <w:highlight w:val="yellow"/>
          <w:lang w:val="es-ES_tradnl"/>
        </w:rPr>
        <w:t>Moriña</w:t>
      </w:r>
      <w:proofErr w:type="spellEnd"/>
      <w:r w:rsidRPr="009C7FCB">
        <w:rPr>
          <w:highlight w:val="yellow"/>
          <w:lang w:val="es-ES_tradnl"/>
        </w:rPr>
        <w:t xml:space="preserve"> y Carballo, 2018).</w:t>
      </w:r>
    </w:p>
    <w:p w14:paraId="7D1E404C" w14:textId="27994BC9" w:rsidR="00F477F1" w:rsidRDefault="00F477F1" w:rsidP="00F477F1">
      <w:pPr>
        <w:rPr>
          <w:lang w:val="es-ES_tradnl"/>
        </w:rPr>
      </w:pPr>
      <w:r>
        <w:t>En este</w:t>
      </w:r>
      <w:r w:rsidR="007B0AF2">
        <w:t xml:space="preserve"> sentido</w:t>
      </w:r>
      <w:r>
        <w:t xml:space="preserve">, la evaluación formativa adquiere una relevancia central </w:t>
      </w:r>
      <w:r w:rsidR="007B0AF2" w:rsidRPr="009C7FCB">
        <w:rPr>
          <w:highlight w:val="yellow"/>
        </w:rPr>
        <w:t>(</w:t>
      </w:r>
      <w:r w:rsidRPr="009C7FCB">
        <w:rPr>
          <w:highlight w:val="yellow"/>
        </w:rPr>
        <w:t>McCarthy, 2017)</w:t>
      </w:r>
      <w:r>
        <w:t xml:space="preserve">. A través de este enfoque, el docente evalúa “para el aprendizaje” en lugar de centrarse solo en “el aprendizaje”. Este diseño permite al docente monitorear el progreso de los estudiantes, identificar sus dificultades y brindar la </w:t>
      </w:r>
      <w:r>
        <w:lastRenderedPageBreak/>
        <w:t xml:space="preserve">retroalimentación necesaria para mejorar </w:t>
      </w:r>
      <w:r w:rsidR="007B0AF2">
        <w:t>su</w:t>
      </w:r>
      <w:r>
        <w:t xml:space="preserve"> aprendizaje en lugar de limitarse a </w:t>
      </w:r>
      <w:r w:rsidR="007B0AF2">
        <w:t>calificarlo</w:t>
      </w:r>
      <w:r>
        <w:t xml:space="preserve">. </w:t>
      </w:r>
      <w:r w:rsidR="007B0AF2">
        <w:t>En este orden, l</w:t>
      </w:r>
      <w:r>
        <w:t>a retroalimentación se convierte en un elemento crucial, ya que permite al</w:t>
      </w:r>
      <w:r w:rsidR="007B0AF2">
        <w:t xml:space="preserve"> estudiantado </w:t>
      </w:r>
      <w:r>
        <w:t>conocer sus fortalezas y áreas de mejora, ayudándolo a regular su propio aprendizaje</w:t>
      </w:r>
      <w:r w:rsidR="007B0AF2">
        <w:t xml:space="preserve">. </w:t>
      </w:r>
    </w:p>
    <w:p w14:paraId="7EC370C8" w14:textId="69E0A710" w:rsidR="00F477F1" w:rsidRDefault="00F477F1" w:rsidP="00F477F1">
      <w:pPr>
        <w:rPr>
          <w:lang w:val="es-ES_tradnl"/>
        </w:rPr>
      </w:pPr>
      <w:r w:rsidRPr="00F477F1">
        <w:rPr>
          <w:lang w:val="es-ES_tradnl"/>
        </w:rPr>
        <w:t>Este estudio en la UAM busca precisamente identificar estas barreras en la evaluación inclusiva, con el fin de crear un ambiente más equitativo y accesible para todo el estudiantado, independientemente de sus necesidades particulares.</w:t>
      </w:r>
      <w:r w:rsidR="007B0AF2">
        <w:rPr>
          <w:lang w:val="es-ES_tradnl"/>
        </w:rPr>
        <w:t xml:space="preserve"> Por lo tanto, el estudio tiene como objetivos: </w:t>
      </w:r>
      <w:r w:rsidR="007B0AF2">
        <w:t>a) analizar las prácticas de evaluación inclusiva que el profesorado de la UAM realiza en sus aulas y; b) identificar si sus métodos de evaluación son iguales para todo el estudiantado o son diferentes para quienes tienen discapacidad.</w:t>
      </w:r>
    </w:p>
    <w:p w14:paraId="04B01BB1" w14:textId="1A750900" w:rsidR="00BF652D" w:rsidRDefault="00F477F1" w:rsidP="00F477F1">
      <w:pPr>
        <w:pStyle w:val="Ttulo1"/>
        <w:ind w:left="0" w:firstLine="0"/>
        <w:rPr>
          <w:lang w:val="es-ES_tradnl"/>
        </w:rPr>
      </w:pPr>
      <w:r w:rsidRPr="00F477F1">
        <w:rPr>
          <w:lang w:val="es-ES_tradnl"/>
        </w:rPr>
        <w:t xml:space="preserve">MÉTODO </w:t>
      </w:r>
    </w:p>
    <w:p w14:paraId="34307FAA" w14:textId="6E85C470" w:rsidR="00C65739" w:rsidRPr="00C65739" w:rsidRDefault="00C65739" w:rsidP="00C65739">
      <w:pPr>
        <w:rPr>
          <w:lang w:val="es-ES_tradnl"/>
        </w:rPr>
      </w:pPr>
      <w:r w:rsidRPr="00C65739">
        <w:rPr>
          <w:lang w:val="es-ES_tradnl"/>
        </w:rPr>
        <w:t xml:space="preserve">El presente estudio adoptó un enfoque cualitativo para explorar las prácticas evaluativas del profesorado universitario, con énfasis en su adecuación a las necesidades del </w:t>
      </w:r>
      <w:r w:rsidR="002F23AC">
        <w:rPr>
          <w:lang w:val="es-ES_tradnl"/>
        </w:rPr>
        <w:t xml:space="preserve">estudiantado </w:t>
      </w:r>
      <w:r w:rsidRPr="00C65739">
        <w:rPr>
          <w:lang w:val="es-ES_tradnl"/>
        </w:rPr>
        <w:t>con y sin discapacidad. El diseño de la investigación fue de tipo exploratorio-descriptivo, orientado a comprender cómo los docentes llevan a cabo sus procesos de evaluación y si implementan ajustes específicos para estudiantes con discapacidad.</w:t>
      </w:r>
    </w:p>
    <w:p w14:paraId="32F3FD20" w14:textId="06FF2C45" w:rsidR="00C65739" w:rsidRPr="00C65739" w:rsidRDefault="00C65739" w:rsidP="00C65739">
      <w:pPr>
        <w:rPr>
          <w:lang w:val="es-ES_tradnl"/>
        </w:rPr>
      </w:pPr>
      <w:r w:rsidRPr="00C65739">
        <w:rPr>
          <w:lang w:val="es-ES_tradnl"/>
        </w:rPr>
        <w:t xml:space="preserve">La muestra estuvo compuesta por </w:t>
      </w:r>
      <w:r w:rsidR="00EF0C1B">
        <w:rPr>
          <w:lang w:val="es-ES_tradnl"/>
        </w:rPr>
        <w:t>12</w:t>
      </w:r>
      <w:r w:rsidRPr="00C65739">
        <w:rPr>
          <w:lang w:val="es-ES_tradnl"/>
        </w:rPr>
        <w:t xml:space="preserve"> docentes de diversas facultades de la Universidad Americana de Managua (UAM), seleccionados mediante un muestreo intencional. Los participantes fueron escogidos por su experiencia en la enseñanza y por su disposición para participar en el estudio. Se buscó una representación equilibrada de diferentes carreras y años de experiencia para asegurar una diversidad de perspectivas sobre las prácticas evaluativas.</w:t>
      </w:r>
    </w:p>
    <w:p w14:paraId="5B36BFE0" w14:textId="2E1C8A03" w:rsidR="00C65739" w:rsidRPr="00C65739" w:rsidRDefault="00C65739" w:rsidP="00C65739">
      <w:pPr>
        <w:rPr>
          <w:lang w:val="es-ES_tradnl"/>
        </w:rPr>
      </w:pPr>
      <w:r w:rsidRPr="00C65739">
        <w:rPr>
          <w:lang w:val="es-ES_tradnl"/>
        </w:rPr>
        <w:t xml:space="preserve">Para la recolección de datos, se utilizó </w:t>
      </w:r>
      <w:r w:rsidR="002F23AC">
        <w:rPr>
          <w:lang w:val="es-ES_tradnl"/>
        </w:rPr>
        <w:t>la</w:t>
      </w:r>
      <w:r w:rsidRPr="00C65739">
        <w:rPr>
          <w:lang w:val="es-ES_tradnl"/>
        </w:rPr>
        <w:t xml:space="preserve"> entrevista</w:t>
      </w:r>
      <w:r w:rsidR="00EF0C1B">
        <w:rPr>
          <w:lang w:val="es-ES_tradnl"/>
        </w:rPr>
        <w:t xml:space="preserve"> grupal</w:t>
      </w:r>
      <w:r w:rsidRPr="00C65739">
        <w:rPr>
          <w:lang w:val="es-ES_tradnl"/>
        </w:rPr>
        <w:t xml:space="preserve"> semiestructurada, diseñada específicamente para responder a las dos preguntas de investigación: </w:t>
      </w:r>
      <w:bookmarkStart w:id="0" w:name="_Hlk180592066"/>
      <w:r w:rsidRPr="000C5A89">
        <w:rPr>
          <w:b/>
          <w:bCs/>
          <w:lang w:val="es-ES_tradnl"/>
        </w:rPr>
        <w:t xml:space="preserve">¿Cómo evalúa el profesorado universitario a su </w:t>
      </w:r>
      <w:r w:rsidR="00EF0C1B">
        <w:rPr>
          <w:b/>
          <w:bCs/>
          <w:lang w:val="es-ES_tradnl"/>
        </w:rPr>
        <w:t>estudiantado</w:t>
      </w:r>
      <w:r w:rsidRPr="000C5A89">
        <w:rPr>
          <w:b/>
          <w:bCs/>
          <w:lang w:val="es-ES_tradnl"/>
        </w:rPr>
        <w:t xml:space="preserve">? y ¿Se utilizan las mismas evaluaciones para todo el </w:t>
      </w:r>
      <w:r w:rsidR="000C5A89">
        <w:rPr>
          <w:b/>
          <w:bCs/>
          <w:lang w:val="es-ES_tradnl"/>
        </w:rPr>
        <w:t xml:space="preserve">estudiantado </w:t>
      </w:r>
      <w:r w:rsidRPr="000C5A89">
        <w:rPr>
          <w:b/>
          <w:bCs/>
          <w:lang w:val="es-ES_tradnl"/>
        </w:rPr>
        <w:t xml:space="preserve">o se realizan ajustes e implementaciones para </w:t>
      </w:r>
      <w:r w:rsidR="000C5A89">
        <w:rPr>
          <w:b/>
          <w:bCs/>
          <w:lang w:val="es-ES_tradnl"/>
        </w:rPr>
        <w:t xml:space="preserve">los y las estudiantes </w:t>
      </w:r>
      <w:r w:rsidRPr="000C5A89">
        <w:rPr>
          <w:b/>
          <w:bCs/>
          <w:lang w:val="es-ES_tradnl"/>
        </w:rPr>
        <w:t xml:space="preserve">con </w:t>
      </w:r>
      <w:r w:rsidR="000C5A89" w:rsidRPr="000C5A89">
        <w:rPr>
          <w:b/>
          <w:bCs/>
          <w:lang w:val="es-ES_tradnl"/>
        </w:rPr>
        <w:t>discapacidad?</w:t>
      </w:r>
      <w:r w:rsidRPr="00C65739">
        <w:rPr>
          <w:lang w:val="es-ES_tradnl"/>
        </w:rPr>
        <w:t xml:space="preserve"> </w:t>
      </w:r>
      <w:bookmarkEnd w:id="0"/>
      <w:proofErr w:type="gramStart"/>
      <w:r w:rsidRPr="00C65739">
        <w:rPr>
          <w:lang w:val="es-ES_tradnl"/>
        </w:rPr>
        <w:t xml:space="preserve">Las preguntas de </w:t>
      </w:r>
      <w:r w:rsidRPr="00C65739">
        <w:rPr>
          <w:lang w:val="es-ES_tradnl"/>
        </w:rPr>
        <w:lastRenderedPageBreak/>
        <w:t>la entrevista se centr</w:t>
      </w:r>
      <w:r w:rsidR="002F23AC">
        <w:rPr>
          <w:lang w:val="es-ES_tradnl"/>
        </w:rPr>
        <w:t>ó</w:t>
      </w:r>
      <w:proofErr w:type="gramEnd"/>
      <w:r w:rsidRPr="00C65739">
        <w:rPr>
          <w:lang w:val="es-ES_tradnl"/>
        </w:rPr>
        <w:t xml:space="preserve"> en las estrategias de evaluación empleadas, los criterios de evaluación, la participación del estudiantado en los procesos evaluativos, y las adaptaciones implementadas para estudiantes con necesidades especiales.</w:t>
      </w:r>
    </w:p>
    <w:p w14:paraId="16182A35" w14:textId="02A4845B" w:rsidR="00C65739" w:rsidRPr="00C65739" w:rsidRDefault="00EF0C1B" w:rsidP="00C65739">
      <w:pPr>
        <w:rPr>
          <w:lang w:val="es-ES_tradnl"/>
        </w:rPr>
      </w:pPr>
      <w:r>
        <w:rPr>
          <w:lang w:val="es-ES_tradnl"/>
        </w:rPr>
        <w:t>La</w:t>
      </w:r>
      <w:r w:rsidR="00C65739" w:rsidRPr="00C65739">
        <w:rPr>
          <w:lang w:val="es-ES_tradnl"/>
        </w:rPr>
        <w:t xml:space="preserve"> sesión tuvo una duración aproximada de </w:t>
      </w:r>
      <w:r w:rsidR="002F23AC">
        <w:rPr>
          <w:lang w:val="es-ES_tradnl"/>
        </w:rPr>
        <w:t>60</w:t>
      </w:r>
      <w:r w:rsidR="00C65739" w:rsidRPr="00C65739">
        <w:rPr>
          <w:lang w:val="es-ES_tradnl"/>
        </w:rPr>
        <w:t xml:space="preserve"> minutos</w:t>
      </w:r>
      <w:r>
        <w:rPr>
          <w:lang w:val="es-ES_tradnl"/>
        </w:rPr>
        <w:t xml:space="preserve">. </w:t>
      </w:r>
      <w:r w:rsidR="00C65739" w:rsidRPr="00C65739">
        <w:rPr>
          <w:lang w:val="es-ES_tradnl"/>
        </w:rPr>
        <w:t xml:space="preserve">Los datos obtenidos se analizaron de manera inductiva, utilizando un sistema de categorías y códigos. El análisis buscó identificar patrones recurrentes en las respuestas de los docentes, especialmente en relación con las estrategias evaluativas generales y las adaptaciones hechas para estudiantes con discapacidad. Se prestó especial atención a las diferencias o similitudes en la evaluación entre el </w:t>
      </w:r>
      <w:r w:rsidR="000C5A89">
        <w:rPr>
          <w:lang w:val="es-ES_tradnl"/>
        </w:rPr>
        <w:t xml:space="preserve">estudiantado </w:t>
      </w:r>
      <w:r w:rsidR="00C65739" w:rsidRPr="00C65739">
        <w:rPr>
          <w:lang w:val="es-ES_tradnl"/>
        </w:rPr>
        <w:t>sin discapacidad y aquellos que requerían ajustes.</w:t>
      </w:r>
    </w:p>
    <w:p w14:paraId="79787ED4" w14:textId="4F380A3F" w:rsidR="00C65739" w:rsidRDefault="00C65739" w:rsidP="00C65739">
      <w:pPr>
        <w:rPr>
          <w:lang w:val="es-ES_tradnl"/>
        </w:rPr>
      </w:pPr>
      <w:r w:rsidRPr="00C65739">
        <w:rPr>
          <w:lang w:val="es-ES_tradnl"/>
        </w:rPr>
        <w:t>El estudio garantizó la confidencialidad de los participantes y se les informó que podían retirarse del estudio en cualquier momento sin repercusiones. Además, todos los participantes firmaron un consentimiento informado previo a su participación en la entrevista.</w:t>
      </w:r>
    </w:p>
    <w:p w14:paraId="4229815A" w14:textId="2AC13EE2" w:rsidR="000C5A89" w:rsidRPr="00C65739" w:rsidRDefault="000C5A89" w:rsidP="000C5A89">
      <w:pPr>
        <w:pStyle w:val="Ttulo1"/>
        <w:ind w:left="0" w:firstLine="0"/>
        <w:rPr>
          <w:lang w:val="es-ES_tradnl"/>
        </w:rPr>
      </w:pPr>
      <w:r>
        <w:rPr>
          <w:lang w:val="es-ES_tradnl"/>
        </w:rPr>
        <w:t xml:space="preserve">RESULTADOS </w:t>
      </w:r>
    </w:p>
    <w:p w14:paraId="5D66918E" w14:textId="77777777" w:rsidR="007069C1" w:rsidRDefault="008222C5" w:rsidP="007069C1">
      <w:pPr>
        <w:pStyle w:val="NmerodeTabla"/>
      </w:pPr>
      <w:r w:rsidRPr="00EB7F5A">
        <w:t xml:space="preserve">Tabla </w:t>
      </w:r>
      <w:r w:rsidRPr="00EB7F5A">
        <w:fldChar w:fldCharType="begin"/>
      </w:r>
      <w:r w:rsidRPr="00EB7F5A">
        <w:instrText xml:space="preserve"> SEQ Tabla \* ARABIC </w:instrText>
      </w:r>
      <w:r w:rsidRPr="00EB7F5A">
        <w:fldChar w:fldCharType="separate"/>
      </w:r>
      <w:r w:rsidR="001E67DF">
        <w:rPr>
          <w:noProof/>
        </w:rPr>
        <w:t>1</w:t>
      </w:r>
      <w:r w:rsidRPr="00EB7F5A">
        <w:fldChar w:fldCharType="end"/>
      </w:r>
      <w:r w:rsidRPr="00EB7F5A">
        <w:t xml:space="preserve"> </w:t>
      </w:r>
    </w:p>
    <w:p w14:paraId="3FED3A7C" w14:textId="64F42786" w:rsidR="008222C5" w:rsidRPr="00EB7F5A" w:rsidRDefault="009D2F65" w:rsidP="007069C1">
      <w:pPr>
        <w:pStyle w:val="Ttulodetabla"/>
      </w:pPr>
      <w:r>
        <w:t xml:space="preserve">Rango de edad de los participantes </w:t>
      </w:r>
    </w:p>
    <w:tbl>
      <w:tblPr>
        <w:tblStyle w:val="TablaDiverEduTec"/>
        <w:tblW w:w="0" w:type="auto"/>
        <w:jc w:val="center"/>
        <w:tblLayout w:type="fixed"/>
        <w:tblCellMar>
          <w:left w:w="70" w:type="dxa"/>
          <w:right w:w="70" w:type="dxa"/>
        </w:tblCellMar>
        <w:tblLook w:val="0020" w:firstRow="1" w:lastRow="0" w:firstColumn="0" w:lastColumn="0" w:noHBand="0" w:noVBand="0"/>
        <w:tblDescription w:val="La tabla presenta tres columnas con los múltiplos de dos, tres y cinco."/>
      </w:tblPr>
      <w:tblGrid>
        <w:gridCol w:w="2693"/>
        <w:gridCol w:w="2694"/>
        <w:gridCol w:w="2694"/>
      </w:tblGrid>
      <w:tr w:rsidR="008222C5" w:rsidRPr="00EB7F5A" w14:paraId="1FD58CAE" w14:textId="77777777" w:rsidTr="00047701">
        <w:trPr>
          <w:tblHeader/>
          <w:jc w:val="center"/>
        </w:trPr>
        <w:tc>
          <w:tcPr>
            <w:tcW w:w="2693" w:type="dxa"/>
            <w:tcBorders>
              <w:top w:val="single" w:sz="4" w:space="0" w:color="auto"/>
              <w:bottom w:val="single" w:sz="4" w:space="0" w:color="auto"/>
            </w:tcBorders>
            <w:vAlign w:val="center"/>
          </w:tcPr>
          <w:p w14:paraId="0AE97CB2" w14:textId="7D54761B" w:rsidR="008222C5" w:rsidRPr="00EB7F5A" w:rsidRDefault="009D2F65" w:rsidP="00EB7F5A">
            <w:pPr>
              <w:pStyle w:val="EncabezadoTabla"/>
              <w:rPr>
                <w:lang w:val="es-ES_tradnl"/>
              </w:rPr>
            </w:pPr>
            <w:r>
              <w:rPr>
                <w:lang w:val="es-ES_tradnl"/>
              </w:rPr>
              <w:t xml:space="preserve">Rango de edades </w:t>
            </w:r>
          </w:p>
        </w:tc>
        <w:tc>
          <w:tcPr>
            <w:tcW w:w="2694" w:type="dxa"/>
            <w:tcBorders>
              <w:top w:val="single" w:sz="4" w:space="0" w:color="auto"/>
              <w:bottom w:val="single" w:sz="4" w:space="0" w:color="auto"/>
            </w:tcBorders>
            <w:vAlign w:val="center"/>
          </w:tcPr>
          <w:p w14:paraId="3A615D61" w14:textId="704BE4DD" w:rsidR="008222C5" w:rsidRPr="00EB7F5A" w:rsidRDefault="009D2F65" w:rsidP="00EB7F5A">
            <w:pPr>
              <w:pStyle w:val="EncabezadoTabla"/>
              <w:rPr>
                <w:lang w:val="es-ES_tradnl"/>
              </w:rPr>
            </w:pPr>
            <w:r>
              <w:rPr>
                <w:lang w:val="es-ES_tradnl"/>
              </w:rPr>
              <w:t xml:space="preserve">Frecuencia </w:t>
            </w:r>
          </w:p>
        </w:tc>
        <w:tc>
          <w:tcPr>
            <w:tcW w:w="2694" w:type="dxa"/>
            <w:tcBorders>
              <w:top w:val="single" w:sz="4" w:space="0" w:color="auto"/>
              <w:bottom w:val="single" w:sz="4" w:space="0" w:color="auto"/>
            </w:tcBorders>
            <w:vAlign w:val="center"/>
          </w:tcPr>
          <w:p w14:paraId="44482C3A" w14:textId="0B8859F5" w:rsidR="008222C5" w:rsidRPr="00EB7F5A" w:rsidRDefault="009D2F65" w:rsidP="00EB7F5A">
            <w:pPr>
              <w:pStyle w:val="EncabezadoTabla"/>
              <w:rPr>
                <w:lang w:val="es-ES_tradnl"/>
              </w:rPr>
            </w:pPr>
            <w:r>
              <w:rPr>
                <w:lang w:val="es-ES_tradnl"/>
              </w:rPr>
              <w:t xml:space="preserve">Porcentaje </w:t>
            </w:r>
          </w:p>
        </w:tc>
      </w:tr>
      <w:tr w:rsidR="008222C5" w:rsidRPr="00EB7F5A" w14:paraId="2EEFF956" w14:textId="77777777" w:rsidTr="00047701">
        <w:trPr>
          <w:jc w:val="center"/>
        </w:trPr>
        <w:tc>
          <w:tcPr>
            <w:tcW w:w="2693" w:type="dxa"/>
            <w:tcBorders>
              <w:top w:val="single" w:sz="4" w:space="0" w:color="auto"/>
            </w:tcBorders>
            <w:vAlign w:val="center"/>
          </w:tcPr>
          <w:p w14:paraId="5E82C05B" w14:textId="25DE99CB" w:rsidR="008222C5" w:rsidRPr="00EB7F5A" w:rsidRDefault="008222C5" w:rsidP="009D2F65">
            <w:pPr>
              <w:pStyle w:val="TextoTabla"/>
              <w:jc w:val="center"/>
              <w:rPr>
                <w:lang w:val="es-ES_tradnl"/>
              </w:rPr>
            </w:pPr>
            <w:r w:rsidRPr="00EB7F5A">
              <w:rPr>
                <w:lang w:val="es-ES_tradnl"/>
              </w:rPr>
              <w:t>2</w:t>
            </w:r>
            <w:r w:rsidR="00322A94">
              <w:rPr>
                <w:lang w:val="es-ES_tradnl"/>
              </w:rPr>
              <w:t>5-35</w:t>
            </w:r>
          </w:p>
        </w:tc>
        <w:tc>
          <w:tcPr>
            <w:tcW w:w="2694" w:type="dxa"/>
            <w:tcBorders>
              <w:top w:val="single" w:sz="4" w:space="0" w:color="auto"/>
            </w:tcBorders>
            <w:vAlign w:val="center"/>
          </w:tcPr>
          <w:p w14:paraId="591A5865" w14:textId="77777777" w:rsidR="008222C5" w:rsidRPr="00EB7F5A" w:rsidRDefault="008222C5" w:rsidP="009D2F65">
            <w:pPr>
              <w:pStyle w:val="TextoTabla"/>
              <w:jc w:val="center"/>
              <w:rPr>
                <w:lang w:val="es-ES_tradnl"/>
              </w:rPr>
            </w:pPr>
            <w:r w:rsidRPr="00EB7F5A">
              <w:rPr>
                <w:lang w:val="es-ES_tradnl"/>
              </w:rPr>
              <w:t>3</w:t>
            </w:r>
          </w:p>
        </w:tc>
        <w:tc>
          <w:tcPr>
            <w:tcW w:w="2694" w:type="dxa"/>
            <w:tcBorders>
              <w:top w:val="single" w:sz="4" w:space="0" w:color="auto"/>
            </w:tcBorders>
            <w:vAlign w:val="center"/>
          </w:tcPr>
          <w:p w14:paraId="62BE05C3" w14:textId="77777777" w:rsidR="008222C5" w:rsidRPr="00EB7F5A" w:rsidRDefault="008222C5" w:rsidP="009D2F65">
            <w:pPr>
              <w:pStyle w:val="TextoTabla"/>
              <w:jc w:val="center"/>
              <w:rPr>
                <w:lang w:val="es-ES_tradnl"/>
              </w:rPr>
            </w:pPr>
            <w:r w:rsidRPr="00EB7F5A">
              <w:rPr>
                <w:lang w:val="es-ES_tradnl"/>
              </w:rPr>
              <w:t>5</w:t>
            </w:r>
          </w:p>
        </w:tc>
      </w:tr>
      <w:tr w:rsidR="008222C5" w:rsidRPr="00EB7F5A" w14:paraId="0F1B5365" w14:textId="77777777" w:rsidTr="00047701">
        <w:trPr>
          <w:jc w:val="center"/>
        </w:trPr>
        <w:tc>
          <w:tcPr>
            <w:tcW w:w="2693" w:type="dxa"/>
            <w:vAlign w:val="center"/>
          </w:tcPr>
          <w:p w14:paraId="473D1682" w14:textId="68E5C244" w:rsidR="008222C5" w:rsidRPr="00EB7F5A" w:rsidRDefault="00322A94" w:rsidP="009D2F65">
            <w:pPr>
              <w:pStyle w:val="TextoTabla"/>
              <w:jc w:val="center"/>
              <w:rPr>
                <w:lang w:val="es-ES_tradnl"/>
              </w:rPr>
            </w:pPr>
            <w:r>
              <w:rPr>
                <w:lang w:val="es-ES_tradnl"/>
              </w:rPr>
              <w:t>35-45</w:t>
            </w:r>
          </w:p>
        </w:tc>
        <w:tc>
          <w:tcPr>
            <w:tcW w:w="2694" w:type="dxa"/>
            <w:vAlign w:val="center"/>
          </w:tcPr>
          <w:p w14:paraId="0D9550E5" w14:textId="0026D11B" w:rsidR="008222C5" w:rsidRPr="00EB7F5A" w:rsidRDefault="00322A94" w:rsidP="009D2F65">
            <w:pPr>
              <w:pStyle w:val="TextoTabla"/>
              <w:jc w:val="center"/>
              <w:rPr>
                <w:lang w:val="es-ES_tradnl"/>
              </w:rPr>
            </w:pPr>
            <w:r>
              <w:rPr>
                <w:lang w:val="es-ES_tradnl"/>
              </w:rPr>
              <w:t>2</w:t>
            </w:r>
          </w:p>
        </w:tc>
        <w:tc>
          <w:tcPr>
            <w:tcW w:w="2694" w:type="dxa"/>
            <w:vAlign w:val="center"/>
          </w:tcPr>
          <w:p w14:paraId="344D2899" w14:textId="4ABE116F" w:rsidR="008222C5" w:rsidRPr="00EB7F5A" w:rsidRDefault="008222C5" w:rsidP="009D2F65">
            <w:pPr>
              <w:pStyle w:val="TextoTabla"/>
              <w:jc w:val="center"/>
              <w:rPr>
                <w:lang w:val="es-ES_tradnl"/>
              </w:rPr>
            </w:pPr>
          </w:p>
        </w:tc>
      </w:tr>
      <w:tr w:rsidR="008222C5" w:rsidRPr="00EB7F5A" w14:paraId="1561306E" w14:textId="77777777" w:rsidTr="00047701">
        <w:trPr>
          <w:jc w:val="center"/>
        </w:trPr>
        <w:tc>
          <w:tcPr>
            <w:tcW w:w="2693" w:type="dxa"/>
            <w:vAlign w:val="center"/>
          </w:tcPr>
          <w:p w14:paraId="265B0D0E" w14:textId="46E0A2B0" w:rsidR="008222C5" w:rsidRPr="00EB7F5A" w:rsidRDefault="00322A94" w:rsidP="009D2F65">
            <w:pPr>
              <w:pStyle w:val="TextoTabla"/>
              <w:jc w:val="center"/>
              <w:rPr>
                <w:lang w:val="es-ES_tradnl"/>
              </w:rPr>
            </w:pPr>
            <w:r>
              <w:rPr>
                <w:lang w:val="es-ES_tradnl"/>
              </w:rPr>
              <w:t>45-55</w:t>
            </w:r>
          </w:p>
        </w:tc>
        <w:tc>
          <w:tcPr>
            <w:tcW w:w="2694" w:type="dxa"/>
            <w:vAlign w:val="center"/>
          </w:tcPr>
          <w:p w14:paraId="0E1090E1" w14:textId="0FCB834C" w:rsidR="008222C5" w:rsidRPr="00EB7F5A" w:rsidRDefault="00322A94" w:rsidP="009D2F65">
            <w:pPr>
              <w:pStyle w:val="TextoTabla"/>
              <w:jc w:val="center"/>
              <w:rPr>
                <w:lang w:val="es-ES_tradnl"/>
              </w:rPr>
            </w:pPr>
            <w:r>
              <w:rPr>
                <w:lang w:val="es-ES_tradnl"/>
              </w:rPr>
              <w:t>6</w:t>
            </w:r>
          </w:p>
        </w:tc>
        <w:tc>
          <w:tcPr>
            <w:tcW w:w="2694" w:type="dxa"/>
            <w:vAlign w:val="center"/>
          </w:tcPr>
          <w:p w14:paraId="2C92C375" w14:textId="5FEC3000" w:rsidR="008222C5" w:rsidRPr="00EB7F5A" w:rsidRDefault="008222C5" w:rsidP="009D2F65">
            <w:pPr>
              <w:pStyle w:val="TextoTabla"/>
              <w:jc w:val="center"/>
              <w:rPr>
                <w:lang w:val="es-ES_tradnl"/>
              </w:rPr>
            </w:pPr>
          </w:p>
        </w:tc>
      </w:tr>
      <w:tr w:rsidR="008222C5" w:rsidRPr="00EB7F5A" w14:paraId="35026AA2" w14:textId="77777777" w:rsidTr="00047701">
        <w:trPr>
          <w:jc w:val="center"/>
        </w:trPr>
        <w:tc>
          <w:tcPr>
            <w:tcW w:w="2693" w:type="dxa"/>
            <w:tcBorders>
              <w:bottom w:val="single" w:sz="4" w:space="0" w:color="auto"/>
            </w:tcBorders>
            <w:vAlign w:val="center"/>
          </w:tcPr>
          <w:p w14:paraId="4C8BA608" w14:textId="303BC5FA" w:rsidR="008222C5" w:rsidRPr="00EB7F5A" w:rsidRDefault="00322A94" w:rsidP="009D2F65">
            <w:pPr>
              <w:pStyle w:val="TextoTabla"/>
              <w:jc w:val="center"/>
              <w:rPr>
                <w:lang w:val="es-ES_tradnl"/>
              </w:rPr>
            </w:pPr>
            <w:r>
              <w:rPr>
                <w:lang w:val="es-ES_tradnl"/>
              </w:rPr>
              <w:t>55-65</w:t>
            </w:r>
          </w:p>
        </w:tc>
        <w:tc>
          <w:tcPr>
            <w:tcW w:w="2694" w:type="dxa"/>
            <w:tcBorders>
              <w:bottom w:val="single" w:sz="4" w:space="0" w:color="auto"/>
            </w:tcBorders>
            <w:vAlign w:val="center"/>
          </w:tcPr>
          <w:p w14:paraId="246D51FB" w14:textId="6817A68B" w:rsidR="008222C5" w:rsidRPr="00EB7F5A" w:rsidRDefault="00322A94" w:rsidP="009D2F65">
            <w:pPr>
              <w:pStyle w:val="TextoTabla"/>
              <w:jc w:val="center"/>
              <w:rPr>
                <w:lang w:val="es-ES_tradnl"/>
              </w:rPr>
            </w:pPr>
            <w:r>
              <w:rPr>
                <w:lang w:val="es-ES_tradnl"/>
              </w:rPr>
              <w:t>1</w:t>
            </w:r>
          </w:p>
        </w:tc>
        <w:tc>
          <w:tcPr>
            <w:tcW w:w="2694" w:type="dxa"/>
            <w:tcBorders>
              <w:bottom w:val="single" w:sz="4" w:space="0" w:color="auto"/>
            </w:tcBorders>
            <w:vAlign w:val="center"/>
          </w:tcPr>
          <w:p w14:paraId="10EED231" w14:textId="6403C06E" w:rsidR="008222C5" w:rsidRPr="00EB7F5A" w:rsidRDefault="008222C5" w:rsidP="009D2F65">
            <w:pPr>
              <w:pStyle w:val="TextoTabla"/>
              <w:jc w:val="center"/>
              <w:rPr>
                <w:lang w:val="es-ES_tradnl"/>
              </w:rPr>
            </w:pPr>
          </w:p>
        </w:tc>
      </w:tr>
    </w:tbl>
    <w:p w14:paraId="38C1919C" w14:textId="43EFD32F" w:rsidR="008222C5" w:rsidRDefault="009D2F65" w:rsidP="009D2F65">
      <w:pPr>
        <w:rPr>
          <w:lang w:val="es-ES_tradnl"/>
        </w:rPr>
      </w:pPr>
      <w:r>
        <w:rPr>
          <w:lang w:val="es-ES_tradnl"/>
        </w:rPr>
        <w:t xml:space="preserve">Los y las docentes participantes imparten clases en las carreras de administración de empresas, odontología, ingeniería industrial, ingeniería civil, ingeniería en sistemas, arquitecturas, contabilidad y finanzas, economía, marketing y publicidad, comunicación y relaciones públicas, diseño y comunicación visual, derecho. </w:t>
      </w:r>
    </w:p>
    <w:p w14:paraId="20CA1A0A" w14:textId="1B7D9429" w:rsidR="009D2F65" w:rsidRDefault="009D2F65" w:rsidP="009D2F65">
      <w:pPr>
        <w:pStyle w:val="NmerodeTabla"/>
      </w:pPr>
      <w:r w:rsidRPr="00EB7F5A">
        <w:lastRenderedPageBreak/>
        <w:t xml:space="preserve">Tabla </w:t>
      </w:r>
      <w:r>
        <w:t>2</w:t>
      </w:r>
      <w:r w:rsidRPr="00EB7F5A">
        <w:t xml:space="preserve"> </w:t>
      </w:r>
    </w:p>
    <w:p w14:paraId="6C553422" w14:textId="69D379D8" w:rsidR="009D2F65" w:rsidRDefault="009D2F65" w:rsidP="009D2F65">
      <w:pPr>
        <w:rPr>
          <w:bCs/>
          <w:i/>
          <w:sz w:val="20"/>
          <w:szCs w:val="20"/>
          <w:lang w:val="es-ES_tradnl"/>
        </w:rPr>
      </w:pPr>
      <w:r w:rsidRPr="009D2F65">
        <w:rPr>
          <w:bCs/>
          <w:i/>
          <w:sz w:val="20"/>
          <w:szCs w:val="20"/>
          <w:lang w:val="es-ES_tradnl"/>
        </w:rPr>
        <w:t>Sistema de categorías y códigos para el análisis </w:t>
      </w:r>
    </w:p>
    <w:tbl>
      <w:tblPr>
        <w:tblW w:w="6374"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80"/>
        <w:gridCol w:w="3194"/>
      </w:tblGrid>
      <w:tr w:rsidR="00E77867" w:rsidRPr="00E77867" w14:paraId="678B7BC2" w14:textId="77777777" w:rsidTr="002008C8">
        <w:trPr>
          <w:trHeight w:val="315"/>
        </w:trPr>
        <w:tc>
          <w:tcPr>
            <w:tcW w:w="3180" w:type="dxa"/>
            <w:tcBorders>
              <w:top w:val="single" w:sz="4" w:space="0" w:color="auto"/>
              <w:bottom w:val="single" w:sz="4" w:space="0" w:color="auto"/>
            </w:tcBorders>
            <w:shd w:val="clear" w:color="000000" w:fill="FFFFFF"/>
            <w:vAlign w:val="center"/>
            <w:hideMark/>
          </w:tcPr>
          <w:p w14:paraId="48851178" w14:textId="77777777" w:rsidR="00E77867" w:rsidRPr="00E77867" w:rsidRDefault="00E77867" w:rsidP="00E77867">
            <w:pPr>
              <w:spacing w:before="0" w:after="0" w:line="240" w:lineRule="auto"/>
              <w:jc w:val="left"/>
              <w:rPr>
                <w:rFonts w:ascii="Arial" w:hAnsi="Arial" w:cs="Arial"/>
                <w:b/>
                <w:bCs/>
                <w:color w:val="000000"/>
                <w:sz w:val="20"/>
                <w:szCs w:val="20"/>
                <w:lang w:val="es-NI" w:eastAsia="es-NI"/>
              </w:rPr>
            </w:pPr>
            <w:r w:rsidRPr="00E77867">
              <w:rPr>
                <w:rFonts w:ascii="Arial" w:hAnsi="Arial" w:cs="Arial"/>
                <w:b/>
                <w:bCs/>
                <w:color w:val="000000"/>
                <w:sz w:val="20"/>
                <w:szCs w:val="20"/>
                <w:lang w:val="es-NI" w:eastAsia="es-NI"/>
              </w:rPr>
              <w:t>Categorías</w:t>
            </w:r>
          </w:p>
        </w:tc>
        <w:tc>
          <w:tcPr>
            <w:tcW w:w="3194" w:type="dxa"/>
            <w:tcBorders>
              <w:top w:val="single" w:sz="4" w:space="0" w:color="auto"/>
              <w:bottom w:val="single" w:sz="4" w:space="0" w:color="auto"/>
            </w:tcBorders>
            <w:shd w:val="clear" w:color="000000" w:fill="FFFFFF"/>
            <w:vAlign w:val="center"/>
            <w:hideMark/>
          </w:tcPr>
          <w:p w14:paraId="33FC0D00" w14:textId="77777777" w:rsidR="00E77867" w:rsidRPr="00E77867" w:rsidRDefault="00E77867" w:rsidP="00E77867">
            <w:pPr>
              <w:spacing w:before="0" w:after="0" w:line="240" w:lineRule="auto"/>
              <w:jc w:val="left"/>
              <w:rPr>
                <w:rFonts w:ascii="Arial" w:hAnsi="Arial" w:cs="Arial"/>
                <w:b/>
                <w:bCs/>
                <w:color w:val="000000"/>
                <w:sz w:val="20"/>
                <w:szCs w:val="20"/>
                <w:lang w:val="es-NI" w:eastAsia="es-NI"/>
              </w:rPr>
            </w:pPr>
            <w:r w:rsidRPr="00E77867">
              <w:rPr>
                <w:rFonts w:ascii="Arial" w:hAnsi="Arial" w:cs="Arial"/>
                <w:b/>
                <w:bCs/>
                <w:color w:val="000000"/>
                <w:sz w:val="20"/>
                <w:szCs w:val="20"/>
                <w:lang w:val="es-NI" w:eastAsia="es-NI"/>
              </w:rPr>
              <w:t>Códigos</w:t>
            </w:r>
          </w:p>
        </w:tc>
      </w:tr>
      <w:tr w:rsidR="00E77867" w:rsidRPr="00E77867" w14:paraId="0A03936D" w14:textId="77777777" w:rsidTr="002008C8">
        <w:trPr>
          <w:trHeight w:val="123"/>
        </w:trPr>
        <w:tc>
          <w:tcPr>
            <w:tcW w:w="3180" w:type="dxa"/>
            <w:vMerge w:val="restart"/>
            <w:tcBorders>
              <w:top w:val="single" w:sz="4" w:space="0" w:color="auto"/>
            </w:tcBorders>
            <w:shd w:val="clear" w:color="000000" w:fill="FFFFFF"/>
            <w:vAlign w:val="center"/>
            <w:hideMark/>
          </w:tcPr>
          <w:p w14:paraId="6D17BB9B"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Momentos de la evaluación</w:t>
            </w:r>
          </w:p>
        </w:tc>
        <w:tc>
          <w:tcPr>
            <w:tcW w:w="3194" w:type="dxa"/>
            <w:tcBorders>
              <w:top w:val="single" w:sz="4" w:space="0" w:color="auto"/>
            </w:tcBorders>
            <w:shd w:val="clear" w:color="000000" w:fill="FFFFFF"/>
            <w:vAlign w:val="center"/>
            <w:hideMark/>
          </w:tcPr>
          <w:p w14:paraId="42852C5C"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Diagnóstica</w:t>
            </w:r>
          </w:p>
        </w:tc>
      </w:tr>
      <w:tr w:rsidR="00E77867" w:rsidRPr="00E77867" w14:paraId="3BCB2FDF" w14:textId="77777777" w:rsidTr="002008C8">
        <w:trPr>
          <w:trHeight w:val="113"/>
        </w:trPr>
        <w:tc>
          <w:tcPr>
            <w:tcW w:w="3180" w:type="dxa"/>
            <w:vMerge/>
            <w:vAlign w:val="center"/>
            <w:hideMark/>
          </w:tcPr>
          <w:p w14:paraId="463B7372"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71C8B4C0"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Formativa</w:t>
            </w:r>
          </w:p>
        </w:tc>
      </w:tr>
      <w:tr w:rsidR="00E77867" w:rsidRPr="00E77867" w14:paraId="1F214151" w14:textId="77777777" w:rsidTr="002008C8">
        <w:trPr>
          <w:trHeight w:val="75"/>
        </w:trPr>
        <w:tc>
          <w:tcPr>
            <w:tcW w:w="3180" w:type="dxa"/>
            <w:vMerge/>
            <w:vAlign w:val="center"/>
            <w:hideMark/>
          </w:tcPr>
          <w:p w14:paraId="7CF85D3E"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5F1E0E8E"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Sumativa</w:t>
            </w:r>
          </w:p>
        </w:tc>
      </w:tr>
      <w:tr w:rsidR="00E77867" w:rsidRPr="00E77867" w14:paraId="6350D37E" w14:textId="77777777" w:rsidTr="002008C8">
        <w:trPr>
          <w:trHeight w:val="273"/>
        </w:trPr>
        <w:tc>
          <w:tcPr>
            <w:tcW w:w="3180" w:type="dxa"/>
            <w:vMerge w:val="restart"/>
            <w:shd w:val="clear" w:color="000000" w:fill="FFFFFF"/>
            <w:vAlign w:val="center"/>
            <w:hideMark/>
          </w:tcPr>
          <w:p w14:paraId="59D39132"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Modalidades participativas</w:t>
            </w:r>
          </w:p>
        </w:tc>
        <w:tc>
          <w:tcPr>
            <w:tcW w:w="3194" w:type="dxa"/>
            <w:shd w:val="clear" w:color="000000" w:fill="FFFFFF"/>
            <w:vAlign w:val="center"/>
            <w:hideMark/>
          </w:tcPr>
          <w:p w14:paraId="68F37E8A" w14:textId="77777777" w:rsidR="002008C8" w:rsidRDefault="002008C8" w:rsidP="00E77867">
            <w:pPr>
              <w:spacing w:before="0" w:after="0" w:line="240" w:lineRule="auto"/>
              <w:jc w:val="left"/>
              <w:rPr>
                <w:rFonts w:ascii="Arial" w:hAnsi="Arial" w:cs="Arial"/>
                <w:color w:val="000000"/>
                <w:sz w:val="16"/>
                <w:szCs w:val="16"/>
                <w:lang w:val="es-NI" w:eastAsia="es-NI"/>
              </w:rPr>
            </w:pPr>
          </w:p>
          <w:p w14:paraId="24762407" w14:textId="70CC4EAF"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Autoevaluación</w:t>
            </w:r>
          </w:p>
        </w:tc>
      </w:tr>
      <w:tr w:rsidR="00E77867" w:rsidRPr="00E77867" w14:paraId="516E1647" w14:textId="77777777" w:rsidTr="002008C8">
        <w:trPr>
          <w:trHeight w:val="121"/>
        </w:trPr>
        <w:tc>
          <w:tcPr>
            <w:tcW w:w="3180" w:type="dxa"/>
            <w:vMerge/>
            <w:vAlign w:val="center"/>
            <w:hideMark/>
          </w:tcPr>
          <w:p w14:paraId="2ECE7665"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41A0D091" w14:textId="0FED11D2" w:rsidR="00E77867" w:rsidRPr="00E77867" w:rsidRDefault="002008C8"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Coevaluación</w:t>
            </w:r>
          </w:p>
        </w:tc>
      </w:tr>
      <w:tr w:rsidR="00E77867" w:rsidRPr="00E77867" w14:paraId="50038BA7" w14:textId="77777777" w:rsidTr="002008C8">
        <w:trPr>
          <w:trHeight w:val="210"/>
        </w:trPr>
        <w:tc>
          <w:tcPr>
            <w:tcW w:w="3180" w:type="dxa"/>
            <w:vMerge/>
            <w:vAlign w:val="center"/>
            <w:hideMark/>
          </w:tcPr>
          <w:p w14:paraId="07598633"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236F1824" w14:textId="2B20E74F" w:rsid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Evaluación entre pares</w:t>
            </w:r>
          </w:p>
          <w:p w14:paraId="28567C4B" w14:textId="77777777" w:rsidR="002008C8" w:rsidRDefault="002008C8" w:rsidP="00E77867">
            <w:pPr>
              <w:spacing w:before="0" w:after="0" w:line="240" w:lineRule="auto"/>
              <w:jc w:val="left"/>
              <w:rPr>
                <w:rFonts w:ascii="Arial" w:hAnsi="Arial" w:cs="Arial"/>
                <w:color w:val="000000"/>
                <w:sz w:val="16"/>
                <w:szCs w:val="16"/>
                <w:lang w:val="es-NI" w:eastAsia="es-NI"/>
              </w:rPr>
            </w:pPr>
          </w:p>
          <w:p w14:paraId="107E154B" w14:textId="604A74C8" w:rsidR="002008C8" w:rsidRPr="00E77867" w:rsidRDefault="002008C8" w:rsidP="00E77867">
            <w:pPr>
              <w:spacing w:before="0" w:after="0" w:line="240" w:lineRule="auto"/>
              <w:jc w:val="left"/>
              <w:rPr>
                <w:rFonts w:ascii="Arial" w:hAnsi="Arial" w:cs="Arial"/>
                <w:color w:val="000000"/>
                <w:sz w:val="16"/>
                <w:szCs w:val="16"/>
                <w:lang w:val="es-NI" w:eastAsia="es-NI"/>
              </w:rPr>
            </w:pPr>
          </w:p>
        </w:tc>
      </w:tr>
      <w:tr w:rsidR="00E77867" w:rsidRPr="00E77867" w14:paraId="6C6D3BC9" w14:textId="77777777" w:rsidTr="002008C8">
        <w:trPr>
          <w:trHeight w:val="173"/>
        </w:trPr>
        <w:tc>
          <w:tcPr>
            <w:tcW w:w="3180" w:type="dxa"/>
            <w:vMerge w:val="restart"/>
            <w:shd w:val="clear" w:color="000000" w:fill="FFFFFF"/>
            <w:vAlign w:val="center"/>
            <w:hideMark/>
          </w:tcPr>
          <w:p w14:paraId="3311625B"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Acciones de evaluación inclusivas</w:t>
            </w:r>
          </w:p>
        </w:tc>
        <w:tc>
          <w:tcPr>
            <w:tcW w:w="3194" w:type="dxa"/>
            <w:shd w:val="clear" w:color="000000" w:fill="FFFFFF"/>
            <w:vAlign w:val="center"/>
            <w:hideMark/>
          </w:tcPr>
          <w:p w14:paraId="3CF70AFC"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Evaluaciones no diferenciadas</w:t>
            </w:r>
          </w:p>
        </w:tc>
      </w:tr>
      <w:tr w:rsidR="00E77867" w:rsidRPr="00E77867" w14:paraId="1224868C" w14:textId="77777777" w:rsidTr="002008C8">
        <w:trPr>
          <w:trHeight w:val="119"/>
        </w:trPr>
        <w:tc>
          <w:tcPr>
            <w:tcW w:w="3180" w:type="dxa"/>
            <w:vMerge/>
            <w:vAlign w:val="center"/>
            <w:hideMark/>
          </w:tcPr>
          <w:p w14:paraId="359B90D8"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2C108E01"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Evaluaciones individualizadas</w:t>
            </w:r>
          </w:p>
        </w:tc>
      </w:tr>
      <w:tr w:rsidR="00E77867" w:rsidRPr="00E77867" w14:paraId="51CB503D" w14:textId="77777777" w:rsidTr="002008C8">
        <w:trPr>
          <w:trHeight w:val="70"/>
        </w:trPr>
        <w:tc>
          <w:tcPr>
            <w:tcW w:w="3180" w:type="dxa"/>
            <w:vMerge/>
            <w:vAlign w:val="center"/>
            <w:hideMark/>
          </w:tcPr>
          <w:p w14:paraId="1E4A5598"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24C26C8E"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Evaluaciones multimodales</w:t>
            </w:r>
          </w:p>
        </w:tc>
      </w:tr>
      <w:tr w:rsidR="00E77867" w:rsidRPr="00E77867" w14:paraId="2883131E" w14:textId="77777777" w:rsidTr="002008C8">
        <w:trPr>
          <w:trHeight w:val="70"/>
        </w:trPr>
        <w:tc>
          <w:tcPr>
            <w:tcW w:w="3180" w:type="dxa"/>
            <w:vMerge/>
            <w:vAlign w:val="center"/>
            <w:hideMark/>
          </w:tcPr>
          <w:p w14:paraId="7FD20707"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376493B3"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Ajustes de formato</w:t>
            </w:r>
          </w:p>
        </w:tc>
      </w:tr>
      <w:tr w:rsidR="00E77867" w:rsidRPr="00E77867" w14:paraId="2F40ECE9" w14:textId="77777777" w:rsidTr="002008C8">
        <w:trPr>
          <w:trHeight w:val="70"/>
        </w:trPr>
        <w:tc>
          <w:tcPr>
            <w:tcW w:w="3180" w:type="dxa"/>
            <w:vMerge/>
            <w:vAlign w:val="center"/>
            <w:hideMark/>
          </w:tcPr>
          <w:p w14:paraId="47813E9D"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444BE946"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Ajustes de tiempos</w:t>
            </w:r>
          </w:p>
        </w:tc>
      </w:tr>
      <w:tr w:rsidR="00E77867" w:rsidRPr="00E77867" w14:paraId="0C4AD762" w14:textId="77777777" w:rsidTr="002008C8">
        <w:trPr>
          <w:trHeight w:val="188"/>
        </w:trPr>
        <w:tc>
          <w:tcPr>
            <w:tcW w:w="3180" w:type="dxa"/>
            <w:vMerge/>
            <w:vAlign w:val="center"/>
            <w:hideMark/>
          </w:tcPr>
          <w:p w14:paraId="68CD6F3F"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p>
        </w:tc>
        <w:tc>
          <w:tcPr>
            <w:tcW w:w="3194" w:type="dxa"/>
            <w:shd w:val="clear" w:color="000000" w:fill="FFFFFF"/>
            <w:vAlign w:val="center"/>
            <w:hideMark/>
          </w:tcPr>
          <w:p w14:paraId="2C31C477" w14:textId="77777777" w:rsidR="00E77867" w:rsidRPr="00E77867" w:rsidRDefault="00E77867" w:rsidP="00E77867">
            <w:pPr>
              <w:spacing w:before="0" w:after="0" w:line="240" w:lineRule="auto"/>
              <w:jc w:val="left"/>
              <w:rPr>
                <w:rFonts w:ascii="Arial" w:hAnsi="Arial" w:cs="Arial"/>
                <w:color w:val="000000"/>
                <w:sz w:val="16"/>
                <w:szCs w:val="16"/>
                <w:lang w:val="es-NI" w:eastAsia="es-NI"/>
              </w:rPr>
            </w:pPr>
            <w:r w:rsidRPr="00E77867">
              <w:rPr>
                <w:rFonts w:ascii="Arial" w:hAnsi="Arial" w:cs="Arial"/>
                <w:color w:val="000000"/>
                <w:sz w:val="16"/>
                <w:szCs w:val="16"/>
                <w:lang w:val="es-NI" w:eastAsia="es-NI"/>
              </w:rPr>
              <w:t>Factores personales y actitudinales</w:t>
            </w:r>
          </w:p>
        </w:tc>
      </w:tr>
    </w:tbl>
    <w:p w14:paraId="70F64907" w14:textId="695659DA" w:rsidR="00E77867" w:rsidRPr="00E77867" w:rsidRDefault="00EB5B95" w:rsidP="009D2F65">
      <w:pPr>
        <w:rPr>
          <w:bCs/>
          <w:iCs/>
          <w:sz w:val="20"/>
          <w:szCs w:val="20"/>
          <w:lang w:val="es-ES_tradnl"/>
        </w:rPr>
      </w:pPr>
      <w:r>
        <w:rPr>
          <w:bCs/>
          <w:iCs/>
          <w:sz w:val="20"/>
          <w:szCs w:val="20"/>
          <w:lang w:val="es-ES_tradnl"/>
        </w:rPr>
        <w:t>(</w:t>
      </w:r>
      <w:r w:rsidR="00E77867">
        <w:rPr>
          <w:bCs/>
          <w:iCs/>
          <w:sz w:val="20"/>
          <w:szCs w:val="20"/>
          <w:lang w:val="es-ES_tradnl"/>
        </w:rPr>
        <w:t>Cotán, 2022</w:t>
      </w:r>
      <w:r>
        <w:rPr>
          <w:bCs/>
          <w:iCs/>
          <w:sz w:val="20"/>
          <w:szCs w:val="20"/>
          <w:lang w:val="es-ES_tradnl"/>
        </w:rPr>
        <w:t>)</w:t>
      </w:r>
    </w:p>
    <w:p w14:paraId="11DB0B3C" w14:textId="1C397504" w:rsidR="00752067" w:rsidRDefault="00322A94" w:rsidP="007069C1">
      <w:pPr>
        <w:pStyle w:val="Ttulo1"/>
        <w:ind w:left="0" w:firstLine="0"/>
        <w:rPr>
          <w:lang w:val="es-ES_tradnl"/>
        </w:rPr>
      </w:pPr>
      <w:r>
        <w:rPr>
          <w:lang w:val="es-ES_tradnl"/>
        </w:rPr>
        <w:t>Resultados</w:t>
      </w:r>
    </w:p>
    <w:p w14:paraId="0218696F" w14:textId="77777777" w:rsidR="00C93016" w:rsidRPr="00C93016" w:rsidRDefault="00C93016" w:rsidP="00C93016">
      <w:pPr>
        <w:rPr>
          <w:lang w:val="es-ES_tradnl"/>
        </w:rPr>
      </w:pPr>
      <w:r w:rsidRPr="00C93016">
        <w:rPr>
          <w:lang w:val="es-ES_tradnl"/>
        </w:rPr>
        <w:t>El profesorado realiza la evaluación en tres momentos clave a lo largo del curso:</w:t>
      </w:r>
    </w:p>
    <w:p w14:paraId="51F59293" w14:textId="04384384" w:rsidR="00C93016" w:rsidRPr="00C93016" w:rsidRDefault="00C93016" w:rsidP="00C93016">
      <w:pPr>
        <w:rPr>
          <w:lang w:val="es-ES_tradnl"/>
        </w:rPr>
      </w:pPr>
      <w:r w:rsidRPr="00C93016">
        <w:rPr>
          <w:lang w:val="es-ES_tradnl"/>
        </w:rPr>
        <w:t>Evaluación diagnóstica: al inicio del curso, para identificar el nivel de conocimiento previo de los estudiantes y sus necesidades de aprendizaje.</w:t>
      </w:r>
    </w:p>
    <w:p w14:paraId="550503D1" w14:textId="77777777" w:rsidR="00C93016" w:rsidRPr="00C93016" w:rsidRDefault="00C93016" w:rsidP="00C93016">
      <w:pPr>
        <w:rPr>
          <w:lang w:val="es-ES_tradnl"/>
        </w:rPr>
      </w:pPr>
      <w:r w:rsidRPr="00C93016">
        <w:rPr>
          <w:lang w:val="es-ES_tradnl"/>
        </w:rPr>
        <w:t>Evaluación formativa: de manera continua durante el desarrollo del curso, para monitorear el progreso de los estudiantes, brindar retroalimentación y ajustar la enseñanza según sea necesario.</w:t>
      </w:r>
    </w:p>
    <w:p w14:paraId="3C7050C7" w14:textId="77777777" w:rsidR="00C93016" w:rsidRPr="00C93016" w:rsidRDefault="00C93016" w:rsidP="00C93016">
      <w:pPr>
        <w:rPr>
          <w:lang w:val="es-ES_tradnl"/>
        </w:rPr>
      </w:pPr>
      <w:r w:rsidRPr="00C93016">
        <w:rPr>
          <w:lang w:val="es-ES_tradnl"/>
        </w:rPr>
        <w:t>Evaluación sumativa: al final de un módulo o del curso, con el fin de medir el grado de logro de los objetivos de aprendizaje.</w:t>
      </w:r>
    </w:p>
    <w:p w14:paraId="3BD7B2B1" w14:textId="77777777" w:rsidR="00C93016" w:rsidRPr="00C93016" w:rsidRDefault="00C93016" w:rsidP="00C93016">
      <w:pPr>
        <w:pStyle w:val="Ttulo1"/>
        <w:rPr>
          <w:b w:val="0"/>
          <w:bCs w:val="0"/>
          <w:smallCaps w:val="0"/>
          <w:lang w:val="es-ES_tradnl"/>
        </w:rPr>
      </w:pPr>
      <w:bookmarkStart w:id="1" w:name="_Hlk180591967"/>
      <w:r w:rsidRPr="00C93016">
        <w:rPr>
          <w:b w:val="0"/>
          <w:bCs w:val="0"/>
          <w:smallCaps w:val="0"/>
          <w:lang w:val="es-ES_tradnl"/>
        </w:rPr>
        <w:lastRenderedPageBreak/>
        <w:t>2. ¿Qué tipo de evaluaciones realiza durante el desarrollo del curso?</w:t>
      </w:r>
    </w:p>
    <w:bookmarkEnd w:id="1"/>
    <w:p w14:paraId="4A3C93F6" w14:textId="77777777" w:rsidR="00C93016" w:rsidRPr="00C93016" w:rsidRDefault="00C93016" w:rsidP="00C93016">
      <w:pPr>
        <w:pStyle w:val="Ttulo1"/>
        <w:rPr>
          <w:b w:val="0"/>
          <w:bCs w:val="0"/>
          <w:smallCaps w:val="0"/>
          <w:lang w:val="es-ES_tradnl"/>
        </w:rPr>
      </w:pPr>
      <w:r w:rsidRPr="00C93016">
        <w:rPr>
          <w:b w:val="0"/>
          <w:bCs w:val="0"/>
          <w:smallCaps w:val="0"/>
          <w:lang w:val="es-ES_tradnl"/>
        </w:rPr>
        <w:t>Pruebas y exámenes: instrumentos tradicionales que permiten medir el conocimiento adquirido.</w:t>
      </w:r>
    </w:p>
    <w:p w14:paraId="11052A46" w14:textId="77777777" w:rsidR="00C93016" w:rsidRPr="00C93016" w:rsidRDefault="00C93016" w:rsidP="00C93016">
      <w:pPr>
        <w:pStyle w:val="Ttulo1"/>
        <w:rPr>
          <w:b w:val="0"/>
          <w:bCs w:val="0"/>
          <w:smallCaps w:val="0"/>
          <w:lang w:val="es-ES_tradnl"/>
        </w:rPr>
      </w:pPr>
      <w:r w:rsidRPr="00C93016">
        <w:rPr>
          <w:b w:val="0"/>
          <w:bCs w:val="0"/>
          <w:smallCaps w:val="0"/>
          <w:lang w:val="es-ES_tradnl"/>
        </w:rPr>
        <w:t>Tareas y proyectos: que favorecen la aplicación práctica de los conocimientos en contextos reales.</w:t>
      </w:r>
    </w:p>
    <w:p w14:paraId="0E33741C" w14:textId="77777777" w:rsidR="00C93016" w:rsidRPr="00C93016" w:rsidRDefault="00C93016" w:rsidP="00C93016">
      <w:pPr>
        <w:pStyle w:val="Ttulo1"/>
        <w:rPr>
          <w:b w:val="0"/>
          <w:bCs w:val="0"/>
          <w:smallCaps w:val="0"/>
          <w:lang w:val="es-ES_tradnl"/>
        </w:rPr>
      </w:pPr>
      <w:r w:rsidRPr="00C93016">
        <w:rPr>
          <w:b w:val="0"/>
          <w:bCs w:val="0"/>
          <w:smallCaps w:val="0"/>
          <w:lang w:val="es-ES_tradnl"/>
        </w:rPr>
        <w:t>Evaluaciones participativas: como debates, presentaciones y discusiones en clase, donde los estudiantes demuestran su comprensión de manera activa.</w:t>
      </w:r>
    </w:p>
    <w:p w14:paraId="66F9FDE2" w14:textId="77777777" w:rsidR="00C93016" w:rsidRPr="00C93016" w:rsidRDefault="00C93016" w:rsidP="00C93016">
      <w:pPr>
        <w:pStyle w:val="Ttulo1"/>
        <w:rPr>
          <w:b w:val="0"/>
          <w:bCs w:val="0"/>
          <w:smallCaps w:val="0"/>
          <w:lang w:val="es-ES_tradnl"/>
        </w:rPr>
      </w:pPr>
      <w:r w:rsidRPr="00C93016">
        <w:rPr>
          <w:b w:val="0"/>
          <w:bCs w:val="0"/>
          <w:smallCaps w:val="0"/>
          <w:lang w:val="es-ES_tradnl"/>
        </w:rPr>
        <w:t xml:space="preserve">Autoevaluaciones y coevaluaciones: donde los estudiantes reflexionan sobre su propio desempeño o evalúan a sus compañeros, promoviendo la </w:t>
      </w:r>
      <w:proofErr w:type="spellStart"/>
      <w:r w:rsidRPr="00C93016">
        <w:rPr>
          <w:b w:val="0"/>
          <w:bCs w:val="0"/>
          <w:smallCaps w:val="0"/>
          <w:lang w:val="es-ES_tradnl"/>
        </w:rPr>
        <w:t>auto-reflexión</w:t>
      </w:r>
      <w:proofErr w:type="spellEnd"/>
      <w:r w:rsidRPr="00C93016">
        <w:rPr>
          <w:b w:val="0"/>
          <w:bCs w:val="0"/>
          <w:smallCaps w:val="0"/>
          <w:lang w:val="es-ES_tradnl"/>
        </w:rPr>
        <w:t xml:space="preserve"> y el aprendizaje colaborativo.</w:t>
      </w:r>
    </w:p>
    <w:p w14:paraId="1F8DAB48" w14:textId="77777777" w:rsidR="00C93016" w:rsidRPr="00C93016" w:rsidRDefault="00C93016" w:rsidP="00C93016">
      <w:pPr>
        <w:pStyle w:val="Ttulo1"/>
        <w:rPr>
          <w:b w:val="0"/>
          <w:bCs w:val="0"/>
          <w:smallCaps w:val="0"/>
          <w:lang w:val="es-ES_tradnl"/>
        </w:rPr>
      </w:pPr>
      <w:r w:rsidRPr="00C93016">
        <w:rPr>
          <w:b w:val="0"/>
          <w:bCs w:val="0"/>
          <w:smallCaps w:val="0"/>
          <w:lang w:val="es-ES_tradnl"/>
        </w:rPr>
        <w:t xml:space="preserve">3. </w:t>
      </w:r>
      <w:bookmarkStart w:id="2" w:name="_Hlk180591999"/>
      <w:r w:rsidRPr="00C93016">
        <w:rPr>
          <w:b w:val="0"/>
          <w:bCs w:val="0"/>
          <w:smallCaps w:val="0"/>
          <w:lang w:val="es-ES_tradnl"/>
        </w:rPr>
        <w:t>¿Qué acciones reconoce que abonan a una evaluación inclusiva?</w:t>
      </w:r>
    </w:p>
    <w:bookmarkEnd w:id="2"/>
    <w:p w14:paraId="2009C360" w14:textId="77777777" w:rsidR="00C93016" w:rsidRPr="00C93016" w:rsidRDefault="00C93016" w:rsidP="00C93016">
      <w:pPr>
        <w:pStyle w:val="Ttulo1"/>
        <w:rPr>
          <w:b w:val="0"/>
          <w:bCs w:val="0"/>
          <w:smallCaps w:val="0"/>
          <w:lang w:val="es-ES_tradnl"/>
        </w:rPr>
      </w:pPr>
      <w:r w:rsidRPr="00C93016">
        <w:rPr>
          <w:b w:val="0"/>
          <w:bCs w:val="0"/>
          <w:smallCaps w:val="0"/>
          <w:lang w:val="es-ES_tradnl"/>
        </w:rPr>
        <w:t>Adaptación de los instrumentos de evaluación: Se diseñan actividades y pruebas accesibles para estudiantes con diversas necesidades, tomando en cuenta diferencias culturales, lingüísticas y cognitivas.</w:t>
      </w:r>
    </w:p>
    <w:p w14:paraId="31990135" w14:textId="77777777" w:rsidR="00C93016" w:rsidRPr="00C93016" w:rsidRDefault="00C93016" w:rsidP="00C93016">
      <w:pPr>
        <w:pStyle w:val="Ttulo1"/>
        <w:rPr>
          <w:b w:val="0"/>
          <w:bCs w:val="0"/>
          <w:smallCaps w:val="0"/>
          <w:lang w:val="es-ES_tradnl"/>
        </w:rPr>
      </w:pPr>
      <w:r w:rsidRPr="00C93016">
        <w:rPr>
          <w:b w:val="0"/>
          <w:bCs w:val="0"/>
          <w:smallCaps w:val="0"/>
          <w:lang w:val="es-ES_tradnl"/>
        </w:rPr>
        <w:t>Diversificación de métodos de evaluación: Ofrecer múltiples formas de demostrar el aprendizaje (exámenes escritos, proyectos, presentaciones orales, etc.) para que todos los estudiantes tengan la oportunidad de mostrar sus fortalezas.</w:t>
      </w:r>
    </w:p>
    <w:p w14:paraId="55D02518" w14:textId="77777777" w:rsidR="00C93016" w:rsidRPr="00C93016" w:rsidRDefault="00C93016" w:rsidP="00C93016">
      <w:pPr>
        <w:pStyle w:val="Ttulo1"/>
        <w:rPr>
          <w:b w:val="0"/>
          <w:bCs w:val="0"/>
          <w:smallCaps w:val="0"/>
          <w:lang w:val="es-ES_tradnl"/>
        </w:rPr>
      </w:pPr>
      <w:r w:rsidRPr="00C93016">
        <w:rPr>
          <w:b w:val="0"/>
          <w:bCs w:val="0"/>
          <w:smallCaps w:val="0"/>
          <w:lang w:val="es-ES_tradnl"/>
        </w:rPr>
        <w:t>Retroalimentación continua y personalizada: Brindar comentarios constructivos y específicos a cada estudiante, respetando su ritmo de aprendizaje y asegurando que comprendan cómo mejorar.</w:t>
      </w:r>
    </w:p>
    <w:p w14:paraId="61E352C7" w14:textId="77777777" w:rsidR="00C93016" w:rsidRDefault="00C93016" w:rsidP="00C93016">
      <w:pPr>
        <w:pStyle w:val="Ttulo1"/>
        <w:ind w:left="0" w:firstLine="0"/>
        <w:rPr>
          <w:b w:val="0"/>
          <w:bCs w:val="0"/>
          <w:smallCaps w:val="0"/>
          <w:lang w:val="es-ES_tradnl"/>
        </w:rPr>
      </w:pPr>
      <w:r w:rsidRPr="00C93016">
        <w:rPr>
          <w:b w:val="0"/>
          <w:bCs w:val="0"/>
          <w:smallCaps w:val="0"/>
          <w:lang w:val="es-ES_tradnl"/>
        </w:rPr>
        <w:t>Creación de un ambiente de apoyo y confianza: Fomentar un espacio donde los estudiantes se sientan seguros para participar y aprender, sin temor a ser juzgados por sus diferencias.</w:t>
      </w:r>
    </w:p>
    <w:p w14:paraId="522130B9" w14:textId="1FC19E51" w:rsidR="008222C5" w:rsidRPr="00EB7F5A" w:rsidRDefault="008222C5" w:rsidP="00C93016">
      <w:pPr>
        <w:pStyle w:val="Ttulo1"/>
        <w:ind w:left="0" w:firstLine="0"/>
        <w:rPr>
          <w:lang w:val="es-ES_tradnl"/>
        </w:rPr>
      </w:pPr>
      <w:r w:rsidRPr="00EB7F5A">
        <w:rPr>
          <w:lang w:val="es-ES_tradnl"/>
        </w:rPr>
        <w:lastRenderedPageBreak/>
        <w:t>C</w:t>
      </w:r>
      <w:r w:rsidR="0063047B">
        <w:rPr>
          <w:lang w:val="es-ES_tradnl"/>
        </w:rPr>
        <w:t>onclusiones</w:t>
      </w:r>
    </w:p>
    <w:p w14:paraId="63D9D31A" w14:textId="77777777" w:rsidR="00322A94" w:rsidRDefault="00E30814" w:rsidP="00E30814">
      <w:r>
        <w:t xml:space="preserve">La evaluación </w:t>
      </w:r>
      <w:r w:rsidR="00322A94">
        <w:t xml:space="preserve">inclusiva </w:t>
      </w:r>
      <w:r>
        <w:t>en las universidades es un proceso fundamental para garantizar que todos los estudiantes, independientemente de sus características o necesidades, tengan la oportunidad de aprender y desarrollarse plenamente.</w:t>
      </w:r>
    </w:p>
    <w:p w14:paraId="083997CB" w14:textId="00B6DF7B" w:rsidR="00E30814" w:rsidRDefault="00322A94" w:rsidP="00E30814">
      <w:r>
        <w:t xml:space="preserve">Independientemente </w:t>
      </w:r>
      <w:r w:rsidR="00E30814">
        <w:t xml:space="preserve">la evaluación se centra en identificar los logros y dificultades de cada estudiante, así como en adaptar las estrategias de enseñanza y evaluación para satisfacer sus necesidades individuales. Esto implica considerar diferentes formas de evaluar el aprendizaje, como la evaluación formativa, la evaluación diferenciada y la evaluación basada en </w:t>
      </w:r>
      <w:r>
        <w:t>habilidades, destrezas y conocimientos</w:t>
      </w:r>
      <w:r w:rsidR="00E30814">
        <w:t>.</w:t>
      </w:r>
    </w:p>
    <w:p w14:paraId="24810B62" w14:textId="77777777" w:rsidR="00E30814" w:rsidRDefault="00E30814" w:rsidP="00E30814">
      <w:r>
        <w:t>Algunas prácticas de evaluación inclusiva en las universidades pueden incluir:</w:t>
      </w:r>
    </w:p>
    <w:p w14:paraId="059E70C4" w14:textId="77777777" w:rsidR="00E30814" w:rsidRDefault="00E30814" w:rsidP="00E30814">
      <w:r>
        <w:t>Diseño de evaluaciones flexibles: Permitir diferentes formas de demostrar el aprendizaje, como presentaciones orales, proyectos creativos o portfolios.</w:t>
      </w:r>
    </w:p>
    <w:p w14:paraId="2A58D197" w14:textId="77777777" w:rsidR="00E30814" w:rsidRDefault="00E30814" w:rsidP="00E30814">
      <w:r>
        <w:t>Adaptación de los criterios de evaluación: Ajustar los criterios de evaluación para tener en cuenta las habilidades y conocimientos particulares de cada estudiante.</w:t>
      </w:r>
    </w:p>
    <w:p w14:paraId="2C6D6526" w14:textId="77777777" w:rsidR="00E30814" w:rsidRDefault="00E30814" w:rsidP="00E30814">
      <w:r>
        <w:t>Uso de apoyos y adaptaciones: Proporcionar los apoyos y adaptaciones necesarios para que los estudiantes con discapacidad puedan participar plenamente en las evaluaciones.</w:t>
      </w:r>
    </w:p>
    <w:p w14:paraId="7BCE2DBB" w14:textId="77777777" w:rsidR="00E30814" w:rsidRDefault="00E30814" w:rsidP="00E30814">
      <w:r>
        <w:t>Retroalimentación constructiva: Proporcionar retroalimentación individualizada y constructiva que ayude a los estudiantes a mejorar su aprendizaje.</w:t>
      </w:r>
    </w:p>
    <w:p w14:paraId="2FBD515A" w14:textId="77777777" w:rsidR="00E30814" w:rsidRDefault="00E30814" w:rsidP="00E30814">
      <w:r>
        <w:t>Participación activa del estudiante: Involucrar a los estudiantes en el proceso de evaluación, permitiéndoles reflexionar sobre su propio aprendizaje y establecer metas de mejora.</w:t>
      </w:r>
    </w:p>
    <w:p w14:paraId="0CE6AB43" w14:textId="77777777" w:rsidR="00E30814" w:rsidRDefault="00E30814" w:rsidP="00E30814">
      <w:r>
        <w:t>Es importante destacar que la evaluación en educación inclusiva no se trata solo de adaptar las evaluaciones existentes, sino de diseñar evaluaciones que sean verdaderamente inclusivas desde su concepción. Esto implica considerar la diversidad de los estudiantes desde el inicio y garantizar que todos tengan igualdad de oportunidades para demostrar su aprendizaje.</w:t>
      </w:r>
    </w:p>
    <w:p w14:paraId="43BD3540" w14:textId="02A83233" w:rsidR="0069037F" w:rsidRDefault="0069037F">
      <w:pPr>
        <w:spacing w:before="0" w:after="160" w:line="259" w:lineRule="auto"/>
        <w:jc w:val="left"/>
        <w:rPr>
          <w:b/>
          <w:bCs/>
          <w:smallCaps/>
          <w:lang w:val="es-ES_tradnl"/>
        </w:rPr>
      </w:pPr>
    </w:p>
    <w:p w14:paraId="7D985EA8" w14:textId="77777777" w:rsidR="002008C8" w:rsidRPr="00742E79" w:rsidRDefault="002008C8" w:rsidP="002008C8">
      <w:pPr>
        <w:pStyle w:val="Ttulo1"/>
      </w:pPr>
      <w:r w:rsidRPr="00742E79">
        <w:t>Bibliografía y referencias</w:t>
      </w:r>
    </w:p>
    <w:sdt>
      <w:sdtPr>
        <w:id w:val="-700011577"/>
        <w:docPartObj>
          <w:docPartGallery w:val="Bibliographies"/>
          <w:docPartUnique/>
        </w:docPartObj>
      </w:sdtPr>
      <w:sdtEndPr/>
      <w:sdtContent>
        <w:sdt>
          <w:sdtPr>
            <w:id w:val="-573587230"/>
            <w:bibliography/>
          </w:sdtPr>
          <w:sdtEndPr/>
          <w:sdtContent>
            <w:p w14:paraId="2E37FE5D" w14:textId="4A57FE35" w:rsidR="006A7189" w:rsidRPr="00EF0C1B" w:rsidRDefault="006A7189" w:rsidP="007B0AF2">
              <w:pPr>
                <w:pStyle w:val="Bibliografa"/>
                <w:rPr>
                  <w:lang w:val="es-NI"/>
                </w:rPr>
              </w:pPr>
              <w:r w:rsidRPr="006A7189">
                <w:t>Aguirre, A</w:t>
              </w:r>
              <w:r>
                <w:t>.</w:t>
              </w:r>
              <w:r w:rsidRPr="006A7189">
                <w:t>; Carballo, R</w:t>
              </w:r>
              <w:r>
                <w:t xml:space="preserve">. </w:t>
              </w:r>
              <w:r>
                <w:rPr>
                  <w:rFonts w:ascii="Franklin Gothic Book" w:hAnsi="Franklin Gothic Book"/>
                </w:rPr>
                <w:t xml:space="preserve">&amp; </w:t>
              </w:r>
              <w:r w:rsidRPr="006A7189">
                <w:t>López-</w:t>
              </w:r>
              <w:proofErr w:type="spellStart"/>
              <w:r w:rsidRPr="006A7189">
                <w:t>Gavira</w:t>
              </w:r>
              <w:proofErr w:type="spellEnd"/>
              <w:r w:rsidRPr="006A7189">
                <w:t>, R</w:t>
              </w:r>
              <w:r>
                <w:t>.</w:t>
              </w:r>
              <w:r w:rsidRPr="006A7189">
                <w:t xml:space="preserve"> (2021). </w:t>
              </w:r>
              <w:r w:rsidRPr="006A7189">
                <w:rPr>
                  <w:lang w:val="en-US"/>
                </w:rPr>
                <w:t>Improving the academic experience of students with disabilities in higher education: Faculty members of Social Sciences and Law speak out,</w:t>
              </w:r>
              <w:r w:rsidRPr="006A7189">
                <w:rPr>
                  <w:i/>
                  <w:iCs/>
                  <w:lang w:val="en-US"/>
                </w:rPr>
                <w:t xml:space="preserve"> Innovation: The European Journal of Social Science Research, vol. 34</w:t>
              </w:r>
              <w:r w:rsidRPr="006A7189">
                <w:rPr>
                  <w:lang w:val="en-US"/>
                </w:rPr>
                <w:t xml:space="preserve">, </w:t>
              </w:r>
              <w:proofErr w:type="spellStart"/>
              <w:r w:rsidRPr="006A7189">
                <w:rPr>
                  <w:lang w:val="en-US"/>
                </w:rPr>
                <w:t>núm</w:t>
              </w:r>
              <w:proofErr w:type="spellEnd"/>
              <w:r w:rsidRPr="006A7189">
                <w:rPr>
                  <w:lang w:val="en-US"/>
                </w:rPr>
                <w:t xml:space="preserve">. 3, pp. 1-16. </w:t>
              </w:r>
              <w:hyperlink r:id="rId9" w:history="1">
                <w:r w:rsidRPr="00EF0C1B">
                  <w:rPr>
                    <w:rStyle w:val="Hipervnculo"/>
                    <w:lang w:val="es-NI"/>
                  </w:rPr>
                  <w:t>https://doi.org/10.1080/13511610.2020.1828047</w:t>
                </w:r>
              </w:hyperlink>
              <w:r w:rsidRPr="00EF0C1B">
                <w:rPr>
                  <w:lang w:val="es-NI"/>
                </w:rPr>
                <w:t xml:space="preserve"> </w:t>
              </w:r>
            </w:p>
            <w:p w14:paraId="76F28504" w14:textId="1CDE4A78" w:rsidR="00E30814" w:rsidRDefault="00E30814" w:rsidP="007B0AF2">
              <w:pPr>
                <w:pStyle w:val="Bibliografa"/>
                <w:rPr>
                  <w:lang w:val="es-NI"/>
                </w:rPr>
              </w:pPr>
              <w:r w:rsidRPr="00E30814">
                <w:rPr>
                  <w:lang w:val="es-NI"/>
                </w:rPr>
                <w:t>Cotán, A. (2022). Pedagogía inclusiva en educación superior: ¿Cómo y cuándo evalúa el profesorado?</w:t>
              </w:r>
              <w:r w:rsidRPr="00E30814">
                <w:rPr>
                  <w:i/>
                  <w:iCs/>
                  <w:lang w:val="es-NI"/>
                </w:rPr>
                <w:t xml:space="preserve"> Revista mexicana de investigación educativa, 27(94), </w:t>
              </w:r>
              <w:r w:rsidRPr="00E30814">
                <w:rPr>
                  <w:lang w:val="es-NI"/>
                </w:rPr>
                <w:t xml:space="preserve">803-828. </w:t>
              </w:r>
              <w:proofErr w:type="spellStart"/>
              <w:r w:rsidRPr="00E30814">
                <w:rPr>
                  <w:lang w:val="es-NI"/>
                </w:rPr>
                <w:t>Epub</w:t>
              </w:r>
              <w:proofErr w:type="spellEnd"/>
              <w:r w:rsidRPr="00E30814">
                <w:rPr>
                  <w:lang w:val="es-NI"/>
                </w:rPr>
                <w:t xml:space="preserve"> 22 de agosto de 2022. Recuperado en 05 de septiembre de 2024, de </w:t>
              </w:r>
              <w:hyperlink r:id="rId10" w:history="1">
                <w:r w:rsidRPr="002E463B">
                  <w:rPr>
                    <w:rStyle w:val="Hipervnculo"/>
                    <w:lang w:val="es-NI"/>
                  </w:rPr>
                  <w:t>http://www.scielo.org.mx/scielo.php?script=sci_arttext&amp;pid=S1405-66662022000300803&amp;lng=es&amp;tlng=es</w:t>
                </w:r>
              </w:hyperlink>
              <w:r w:rsidRPr="00E30814">
                <w:rPr>
                  <w:lang w:val="es-NI"/>
                </w:rPr>
                <w:t>.</w:t>
              </w:r>
            </w:p>
            <w:p w14:paraId="68E081FF" w14:textId="77A102BA" w:rsidR="006A7189" w:rsidRDefault="009C7FCB" w:rsidP="007B0AF2">
              <w:pPr>
                <w:pStyle w:val="Bibliografa"/>
              </w:pPr>
              <w:r w:rsidRPr="00E30814">
                <w:rPr>
                  <w:lang w:val="es-NI"/>
                </w:rPr>
                <w:t>Cotán, A</w:t>
              </w:r>
              <w:r w:rsidR="006A7189" w:rsidRPr="00E30814">
                <w:rPr>
                  <w:lang w:val="es-NI"/>
                </w:rPr>
                <w:t>.</w:t>
              </w:r>
              <w:r w:rsidRPr="00E30814">
                <w:rPr>
                  <w:lang w:val="es-NI"/>
                </w:rPr>
                <w:t xml:space="preserve"> (2021). </w:t>
              </w:r>
              <w:r w:rsidRPr="009C7FCB">
                <w:t xml:space="preserve">Tutores y factores resilientes del alumnado con discapacidad en las instituciones de educación superior, </w:t>
              </w:r>
              <w:r w:rsidRPr="009C7FCB">
                <w:rPr>
                  <w:i/>
                  <w:iCs/>
                </w:rPr>
                <w:t>Revista Nacional e Internacional de Educación Inclusiva</w:t>
              </w:r>
              <w:r w:rsidRPr="009C7FCB">
                <w:t xml:space="preserve">, vol. 14, núm. 1, pp. 9-24. Disponible en: </w:t>
              </w:r>
              <w:hyperlink r:id="rId11" w:history="1">
                <w:r w:rsidR="006A7189" w:rsidRPr="002E463B">
                  <w:rPr>
                    <w:rStyle w:val="Hipervnculo"/>
                  </w:rPr>
                  <w:t>https://revistaeducacioninclusiva.es/index.php/REI/article/view/574</w:t>
                </w:r>
              </w:hyperlink>
            </w:p>
            <w:p w14:paraId="1E3FE331" w14:textId="7870C2B9" w:rsidR="00E30814" w:rsidRDefault="00E30814" w:rsidP="00E30814">
              <w:pPr>
                <w:pStyle w:val="Bibliografa"/>
                <w:rPr>
                  <w:lang w:val="en-US"/>
                </w:rPr>
              </w:pPr>
              <w:r w:rsidRPr="00E30814">
                <w:rPr>
                  <w:lang w:val="en-US"/>
                </w:rPr>
                <w:t xml:space="preserve">McCarthy, Josh (2017). Enhancing feedback in higher education: Students attitudes towards online and in-class formative assessment feedback models, Active Learning in Higher Education, vol. 18, </w:t>
              </w:r>
              <w:proofErr w:type="spellStart"/>
              <w:r w:rsidRPr="00E30814">
                <w:rPr>
                  <w:lang w:val="en-US"/>
                </w:rPr>
                <w:t>núm</w:t>
              </w:r>
              <w:proofErr w:type="spellEnd"/>
              <w:r w:rsidRPr="00E30814">
                <w:rPr>
                  <w:lang w:val="en-US"/>
                </w:rPr>
                <w:t xml:space="preserve">. 2, pp. 127-141. </w:t>
              </w:r>
              <w:hyperlink r:id="rId12" w:history="1">
                <w:r w:rsidRPr="00E30814">
                  <w:rPr>
                    <w:lang w:val="en-US"/>
                  </w:rPr>
                  <w:t>https://doi.org/10.1177/1469787417707615</w:t>
                </w:r>
              </w:hyperlink>
              <w:r>
                <w:rPr>
                  <w:lang w:val="en-US"/>
                </w:rPr>
                <w:t xml:space="preserve">  </w:t>
              </w:r>
            </w:p>
            <w:p w14:paraId="77284C30" w14:textId="18EB3A9B" w:rsidR="009C7FCB" w:rsidRDefault="009C7FCB" w:rsidP="007B0AF2">
              <w:pPr>
                <w:pStyle w:val="Bibliografa"/>
              </w:pPr>
              <w:r w:rsidRPr="00E30814">
                <w:rPr>
                  <w:lang w:val="en-US"/>
                </w:rPr>
                <w:t xml:space="preserve"> </w:t>
              </w:r>
              <w:proofErr w:type="spellStart"/>
              <w:r w:rsidR="006A7189" w:rsidRPr="00EF0C1B">
                <w:rPr>
                  <w:lang w:val="es-NI"/>
                </w:rPr>
                <w:t>Moriña</w:t>
              </w:r>
              <w:proofErr w:type="spellEnd"/>
              <w:r w:rsidR="006A7189" w:rsidRPr="00EF0C1B">
                <w:rPr>
                  <w:lang w:val="es-NI"/>
                </w:rPr>
                <w:t>, A.  Carballo,</w:t>
              </w:r>
              <w:r w:rsidR="006A7189" w:rsidRPr="00EF0C1B">
                <w:rPr>
                  <w:rFonts w:ascii="Franklin Gothic Book" w:hAnsi="Franklin Gothic Book"/>
                  <w:lang w:val="es-NI"/>
                </w:rPr>
                <w:t xml:space="preserve"> &amp;</w:t>
              </w:r>
              <w:r w:rsidR="006A7189" w:rsidRPr="00EF0C1B">
                <w:rPr>
                  <w:lang w:val="es-NI"/>
                </w:rPr>
                <w:t xml:space="preserve"> Rafael (2018). </w:t>
              </w:r>
              <w:r w:rsidR="006A7189" w:rsidRPr="006A7189">
                <w:t xml:space="preserve">Profesorado universitario y educación inclusiva: respondiendo a sus necesidades de formación, Psicología escolar </w:t>
              </w:r>
              <w:proofErr w:type="gramStart"/>
              <w:r w:rsidR="006A7189" w:rsidRPr="006A7189">
                <w:t>e</w:t>
              </w:r>
              <w:proofErr w:type="gramEnd"/>
              <w:r w:rsidR="006A7189" w:rsidRPr="006A7189">
                <w:t xml:space="preserve"> educacional, núm. 22, pp. 87-95. </w:t>
              </w:r>
              <w:hyperlink r:id="rId13" w:history="1">
                <w:r w:rsidR="006A7189" w:rsidRPr="002E463B">
                  <w:rPr>
                    <w:rStyle w:val="Hipervnculo"/>
                  </w:rPr>
                  <w:t>https://doi.org/10.1590/2175-35392018053</w:t>
                </w:r>
              </w:hyperlink>
            </w:p>
            <w:p w14:paraId="1334087B" w14:textId="77777777" w:rsidR="00E30814" w:rsidRPr="00E30814" w:rsidRDefault="00E30814" w:rsidP="00E30814"/>
            <w:p w14:paraId="7E522527" w14:textId="77777777" w:rsidR="006A7189" w:rsidRPr="006A7189" w:rsidRDefault="006A7189" w:rsidP="006A7189"/>
            <w:p w14:paraId="020AADDB" w14:textId="77777777" w:rsidR="006A7189" w:rsidRPr="006A7189" w:rsidRDefault="006A7189" w:rsidP="006A7189"/>
            <w:p w14:paraId="3CB47E7A" w14:textId="5FFFC240" w:rsidR="0063047B" w:rsidRDefault="00851B5F" w:rsidP="00D70D85">
              <w:pPr>
                <w:pStyle w:val="Bibliografa"/>
              </w:pPr>
            </w:p>
          </w:sdtContent>
        </w:sdt>
      </w:sdtContent>
    </w:sdt>
    <w:p w14:paraId="7364DAD2" w14:textId="77777777" w:rsidR="008222C5" w:rsidRPr="00EB7F5A" w:rsidRDefault="008222C5" w:rsidP="00EB7F5A">
      <w:pPr>
        <w:rPr>
          <w:lang w:val="es-ES_tradnl"/>
        </w:rPr>
      </w:pPr>
    </w:p>
    <w:p w14:paraId="7F2BA10C" w14:textId="77777777" w:rsidR="008222C5" w:rsidRPr="00EB7F5A" w:rsidRDefault="008222C5" w:rsidP="00EB7F5A">
      <w:pPr>
        <w:rPr>
          <w:lang w:val="es-ES_tradnl"/>
        </w:rPr>
      </w:pPr>
    </w:p>
    <w:p w14:paraId="47CE45D1" w14:textId="77777777" w:rsidR="008222C5" w:rsidRPr="00EB7F5A" w:rsidRDefault="008222C5" w:rsidP="00EB7F5A">
      <w:pPr>
        <w:rPr>
          <w:lang w:val="es-ES_tradnl"/>
        </w:rPr>
      </w:pPr>
    </w:p>
    <w:p w14:paraId="4F593186" w14:textId="77777777" w:rsidR="002A0906" w:rsidRPr="00EB7F5A" w:rsidRDefault="002A0906" w:rsidP="00EB7F5A">
      <w:pPr>
        <w:rPr>
          <w:lang w:val="es-ES_tradnl"/>
        </w:rPr>
      </w:pPr>
    </w:p>
    <w:sectPr w:rsidR="002A0906" w:rsidRPr="00EB7F5A" w:rsidSect="003637F0">
      <w:headerReference w:type="default" r:id="rId14"/>
      <w:footerReference w:type="default" r:id="rId15"/>
      <w:pgSz w:w="11905" w:h="16837"/>
      <w:pgMar w:top="1418" w:right="1418" w:bottom="1418" w:left="1418"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960C" w14:textId="77777777" w:rsidR="00851B5F" w:rsidRDefault="00851B5F" w:rsidP="003A7005">
      <w:pPr>
        <w:spacing w:before="0" w:after="0" w:line="240" w:lineRule="auto"/>
      </w:pPr>
      <w:r>
        <w:separator/>
      </w:r>
    </w:p>
  </w:endnote>
  <w:endnote w:type="continuationSeparator" w:id="0">
    <w:p w14:paraId="143683FF" w14:textId="77777777" w:rsidR="00851B5F" w:rsidRDefault="00851B5F" w:rsidP="003A70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B74E" w14:textId="77777777" w:rsidR="0069037F" w:rsidRDefault="0069037F" w:rsidP="003A7005">
    <w:pPr>
      <w:pStyle w:val="Piedepgina"/>
      <w:tabs>
        <w:tab w:val="left" w:pos="6270"/>
      </w:tabs>
    </w:pPr>
    <w:r>
      <w:rPr>
        <w:noProof/>
        <w:lang w:val="en-GB" w:eastAsia="en-GB"/>
      </w:rPr>
      <mc:AlternateContent>
        <mc:Choice Requires="wps">
          <w:drawing>
            <wp:anchor distT="0" distB="0" distL="114300" distR="114300" simplePos="0" relativeHeight="251659264" behindDoc="0" locked="0" layoutInCell="1" allowOverlap="1" wp14:anchorId="7F24E434" wp14:editId="778EB9BD">
              <wp:simplePos x="0" y="0"/>
              <wp:positionH relativeFrom="column">
                <wp:posOffset>-5080</wp:posOffset>
              </wp:positionH>
              <wp:positionV relativeFrom="paragraph">
                <wp:posOffset>-34925</wp:posOffset>
              </wp:positionV>
              <wp:extent cx="5762625" cy="0"/>
              <wp:effectExtent l="0" t="0" r="0" b="0"/>
              <wp:wrapNone/>
              <wp:docPr id="3" name="Conector rec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6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DAF8C" id="Conector recto 3"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75pt" to="45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" strokecolor="#6b0c0b [1924]" strokeweight="1.25pt"/>
          </w:pict>
        </mc:Fallback>
      </mc:AlternateContent>
    </w:r>
    <w:r>
      <w:ptab w:relativeTo="margin" w:alignment="center" w:leader="none"/>
    </w:r>
    <w:r w:rsidRPr="00AE0CAC">
      <w:t>https://congresos.uned.es/w24413/</w:t>
    </w:r>
  </w:p>
  <w:p w14:paraId="39A9E1D7" w14:textId="77777777" w:rsidR="0069037F" w:rsidRDefault="00690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4606" w14:textId="77777777" w:rsidR="00851B5F" w:rsidRDefault="00851B5F" w:rsidP="003A7005">
      <w:pPr>
        <w:spacing w:before="0" w:after="0" w:line="240" w:lineRule="auto"/>
      </w:pPr>
      <w:r>
        <w:separator/>
      </w:r>
    </w:p>
  </w:footnote>
  <w:footnote w:type="continuationSeparator" w:id="0">
    <w:p w14:paraId="21BC128E" w14:textId="77777777" w:rsidR="00851B5F" w:rsidRDefault="00851B5F" w:rsidP="003A7005">
      <w:pPr>
        <w:spacing w:before="0" w:after="0" w:line="240" w:lineRule="auto"/>
      </w:pPr>
      <w:r>
        <w:continuationSeparator/>
      </w:r>
    </w:p>
  </w:footnote>
  <w:footnote w:id="1">
    <w:p w14:paraId="21770751" w14:textId="37EE4B55" w:rsidR="00762880" w:rsidRDefault="00762880">
      <w:pPr>
        <w:pStyle w:val="Textonotapie"/>
      </w:pPr>
      <w:r>
        <w:rPr>
          <w:rStyle w:val="Refdenotaalpie"/>
        </w:rPr>
        <w:footnoteRef/>
      </w:r>
      <w:r>
        <w:t xml:space="preserve"> Docente en la Universidad Americana de Nicaragua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8DAC" w14:textId="5116D231" w:rsidR="0069037F" w:rsidRPr="003A7005" w:rsidRDefault="0069037F" w:rsidP="003A7005">
    <w:pPr>
      <w:pStyle w:val="Encabezado"/>
      <w:rPr>
        <w:rStyle w:val="Textoennegrita"/>
        <w:b w:val="0"/>
        <w:bCs w:val="0"/>
      </w:rPr>
    </w:pPr>
    <w:r>
      <w:rPr>
        <w:noProof/>
      </w:rPr>
      <w:ptab w:relativeTo="margin" w:alignment="center" w:leader="none"/>
    </w:r>
    <w:r w:rsidR="00762880">
      <w:rPr>
        <w:noProof/>
      </w:rPr>
      <w:drawing>
        <wp:inline distT="0" distB="0" distL="0" distR="0" wp14:anchorId="3A6D5879" wp14:editId="0CBD313E">
          <wp:extent cx="283845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231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283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9692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1A9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08A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2D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982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C9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C02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A3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655A0"/>
    <w:multiLevelType w:val="multilevel"/>
    <w:tmpl w:val="BC54950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2355EF"/>
    <w:multiLevelType w:val="multilevel"/>
    <w:tmpl w:val="6B7E1B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6216E2"/>
    <w:multiLevelType w:val="multilevel"/>
    <w:tmpl w:val="E0C0C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n-US" w:vendorID="64" w:dllVersion="4096"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C5"/>
    <w:rsid w:val="00047701"/>
    <w:rsid w:val="00090BB6"/>
    <w:rsid w:val="000C5A89"/>
    <w:rsid w:val="00167E4B"/>
    <w:rsid w:val="00186161"/>
    <w:rsid w:val="001D4B5E"/>
    <w:rsid w:val="001E67DF"/>
    <w:rsid w:val="002008C8"/>
    <w:rsid w:val="00217FA4"/>
    <w:rsid w:val="002832E0"/>
    <w:rsid w:val="00283F2A"/>
    <w:rsid w:val="002A0906"/>
    <w:rsid w:val="002F23AC"/>
    <w:rsid w:val="002F6C8C"/>
    <w:rsid w:val="00322A94"/>
    <w:rsid w:val="003637F0"/>
    <w:rsid w:val="003805E5"/>
    <w:rsid w:val="0038652E"/>
    <w:rsid w:val="003A7005"/>
    <w:rsid w:val="003E08F5"/>
    <w:rsid w:val="004644DD"/>
    <w:rsid w:val="004A0417"/>
    <w:rsid w:val="004A2B4F"/>
    <w:rsid w:val="005302D3"/>
    <w:rsid w:val="00542259"/>
    <w:rsid w:val="006230DA"/>
    <w:rsid w:val="0063047B"/>
    <w:rsid w:val="00651D67"/>
    <w:rsid w:val="006726C1"/>
    <w:rsid w:val="0069037F"/>
    <w:rsid w:val="006A7189"/>
    <w:rsid w:val="007069C1"/>
    <w:rsid w:val="00720F16"/>
    <w:rsid w:val="00742E79"/>
    <w:rsid w:val="00752067"/>
    <w:rsid w:val="00762880"/>
    <w:rsid w:val="007932B2"/>
    <w:rsid w:val="007B0AF2"/>
    <w:rsid w:val="007C411D"/>
    <w:rsid w:val="007D0CA4"/>
    <w:rsid w:val="008222C5"/>
    <w:rsid w:val="00851B5F"/>
    <w:rsid w:val="008663FF"/>
    <w:rsid w:val="008F316D"/>
    <w:rsid w:val="009416C6"/>
    <w:rsid w:val="00963AF0"/>
    <w:rsid w:val="009C7FCB"/>
    <w:rsid w:val="009D2F65"/>
    <w:rsid w:val="009E4862"/>
    <w:rsid w:val="00A97CFD"/>
    <w:rsid w:val="00B1232C"/>
    <w:rsid w:val="00B66A95"/>
    <w:rsid w:val="00B93241"/>
    <w:rsid w:val="00BD502E"/>
    <w:rsid w:val="00BF652D"/>
    <w:rsid w:val="00C37619"/>
    <w:rsid w:val="00C65739"/>
    <w:rsid w:val="00C93016"/>
    <w:rsid w:val="00C967A9"/>
    <w:rsid w:val="00D0659B"/>
    <w:rsid w:val="00D70D85"/>
    <w:rsid w:val="00E30814"/>
    <w:rsid w:val="00E77867"/>
    <w:rsid w:val="00EB5B95"/>
    <w:rsid w:val="00EB7F5A"/>
    <w:rsid w:val="00EE7D93"/>
    <w:rsid w:val="00EF0C1B"/>
    <w:rsid w:val="00F015D2"/>
    <w:rsid w:val="00F42AB8"/>
    <w:rsid w:val="00F477F1"/>
    <w:rsid w:val="00F7656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2473"/>
  <w15:chartTrackingRefBased/>
  <w15:docId w15:val="{EA51F814-08BD-442F-AEC8-23DD2E5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C1"/>
    <w:pPr>
      <w:spacing w:before="120" w:after="240" w:line="360" w:lineRule="auto"/>
      <w:jc w:val="both"/>
    </w:pPr>
    <w:rPr>
      <w:rFonts w:ascii="Trebuchet MS" w:eastAsia="Times New Roman" w:hAnsi="Trebuchet MS" w:cs="Times New Roman"/>
      <w:sz w:val="24"/>
      <w:szCs w:val="24"/>
      <w:lang w:eastAsia="es-ES"/>
    </w:rPr>
  </w:style>
  <w:style w:type="paragraph" w:styleId="Ttulo1">
    <w:name w:val="heading 1"/>
    <w:basedOn w:val="Normal"/>
    <w:next w:val="Normal"/>
    <w:link w:val="Ttulo1Car"/>
    <w:uiPriority w:val="9"/>
    <w:qFormat/>
    <w:rsid w:val="00B93241"/>
    <w:pPr>
      <w:keepNext/>
      <w:tabs>
        <w:tab w:val="num" w:pos="432"/>
      </w:tabs>
      <w:spacing w:before="360"/>
      <w:ind w:left="431" w:hanging="431"/>
      <w:jc w:val="left"/>
      <w:outlineLvl w:val="0"/>
    </w:pPr>
    <w:rPr>
      <w:b/>
      <w:bCs/>
      <w:smallCaps/>
    </w:rPr>
  </w:style>
  <w:style w:type="paragraph" w:styleId="Ttulo2">
    <w:name w:val="heading 2"/>
    <w:basedOn w:val="Normal"/>
    <w:next w:val="Normal"/>
    <w:link w:val="Ttulo2Car"/>
    <w:uiPriority w:val="9"/>
    <w:unhideWhenUsed/>
    <w:qFormat/>
    <w:rsid w:val="007C411D"/>
    <w:pPr>
      <w:keepNext/>
      <w:jc w:val="left"/>
      <w:outlineLvl w:val="1"/>
    </w:pPr>
    <w:rPr>
      <w:b/>
      <w:bCs/>
    </w:rPr>
  </w:style>
  <w:style w:type="paragraph" w:styleId="Ttulo3">
    <w:name w:val="heading 3"/>
    <w:basedOn w:val="Normal"/>
    <w:next w:val="Normal"/>
    <w:link w:val="Ttulo3Car"/>
    <w:uiPriority w:val="9"/>
    <w:unhideWhenUsed/>
    <w:qFormat/>
    <w:rsid w:val="007C411D"/>
    <w:pPr>
      <w:keepNext/>
      <w:spacing w:before="240" w:after="60"/>
      <w:ind w:left="357"/>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BD502E"/>
    <w:pPr>
      <w:keepNext/>
      <w:keepLines/>
      <w:spacing w:before="40" w:after="0"/>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8222C5"/>
    <w:pPr>
      <w:spacing w:line="240" w:lineRule="auto"/>
    </w:pPr>
    <w:rPr>
      <w:sz w:val="20"/>
      <w:szCs w:val="20"/>
    </w:rPr>
  </w:style>
  <w:style w:type="character" w:customStyle="1" w:styleId="TextocomentarioCar">
    <w:name w:val="Texto comentario Car"/>
    <w:basedOn w:val="Fuentedeprrafopredeter"/>
    <w:link w:val="Textocomentario"/>
    <w:uiPriority w:val="99"/>
    <w:rsid w:val="008222C5"/>
    <w:rPr>
      <w:sz w:val="20"/>
      <w:szCs w:val="20"/>
    </w:rPr>
  </w:style>
  <w:style w:type="character" w:styleId="Ttulodellibro">
    <w:name w:val="Book Title"/>
    <w:uiPriority w:val="33"/>
    <w:qFormat/>
    <w:rsid w:val="00B93241"/>
    <w:rPr>
      <w:rFonts w:ascii="Trebuchet MS" w:hAnsi="Trebuchet MS"/>
      <w:b/>
      <w:i w:val="0"/>
      <w:caps w:val="0"/>
      <w:smallCaps/>
      <w:strike w:val="0"/>
      <w:dstrike w:val="0"/>
      <w:vanish w:val="0"/>
      <w:sz w:val="28"/>
      <w:vertAlign w:val="baseline"/>
    </w:rPr>
  </w:style>
  <w:style w:type="character" w:styleId="Refdecomentario">
    <w:name w:val="annotation reference"/>
    <w:basedOn w:val="Fuentedeprrafopredeter"/>
    <w:uiPriority w:val="99"/>
    <w:semiHidden/>
    <w:unhideWhenUsed/>
    <w:rsid w:val="008222C5"/>
    <w:rPr>
      <w:sz w:val="16"/>
      <w:szCs w:val="16"/>
    </w:rPr>
  </w:style>
  <w:style w:type="paragraph" w:styleId="Textodeglobo">
    <w:name w:val="Balloon Text"/>
    <w:basedOn w:val="Normal"/>
    <w:link w:val="TextodegloboCar"/>
    <w:uiPriority w:val="99"/>
    <w:semiHidden/>
    <w:unhideWhenUsed/>
    <w:rsid w:val="008222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2C5"/>
    <w:rPr>
      <w:rFonts w:ascii="Segoe UI" w:hAnsi="Segoe UI" w:cs="Segoe UI"/>
      <w:sz w:val="18"/>
      <w:szCs w:val="18"/>
    </w:rPr>
  </w:style>
  <w:style w:type="paragraph" w:customStyle="1" w:styleId="Autores">
    <w:name w:val="Autores"/>
    <w:basedOn w:val="Normal"/>
    <w:qFormat/>
    <w:rsid w:val="00B93241"/>
    <w:pPr>
      <w:spacing w:before="360" w:after="0" w:line="240" w:lineRule="auto"/>
      <w:ind w:left="680" w:right="680"/>
      <w:jc w:val="center"/>
    </w:pPr>
    <w:rPr>
      <w:sz w:val="22"/>
    </w:rPr>
  </w:style>
  <w:style w:type="paragraph" w:customStyle="1" w:styleId="Afiliacin">
    <w:name w:val="Afiliación"/>
    <w:basedOn w:val="Normal"/>
    <w:qFormat/>
    <w:rsid w:val="00B93241"/>
    <w:pPr>
      <w:spacing w:after="0" w:line="240" w:lineRule="auto"/>
      <w:ind w:left="680" w:right="680"/>
      <w:jc w:val="center"/>
    </w:pPr>
    <w:rPr>
      <w:i/>
      <w:sz w:val="20"/>
    </w:rPr>
  </w:style>
  <w:style w:type="paragraph" w:customStyle="1" w:styleId="Email">
    <w:name w:val="Email"/>
    <w:basedOn w:val="Normal"/>
    <w:qFormat/>
    <w:rsid w:val="008222C5"/>
    <w:pPr>
      <w:spacing w:line="240" w:lineRule="auto"/>
      <w:ind w:left="680" w:right="680"/>
      <w:jc w:val="center"/>
    </w:pPr>
    <w:rPr>
      <w:b/>
      <w:sz w:val="20"/>
    </w:rPr>
  </w:style>
  <w:style w:type="character" w:customStyle="1" w:styleId="Ttulo1Car">
    <w:name w:val="Título 1 Car"/>
    <w:basedOn w:val="Fuentedeprrafopredeter"/>
    <w:link w:val="Ttulo1"/>
    <w:uiPriority w:val="9"/>
    <w:rsid w:val="00B93241"/>
    <w:rPr>
      <w:rFonts w:ascii="Trebuchet MS" w:eastAsia="Times New Roman" w:hAnsi="Trebuchet MS" w:cs="Times New Roman"/>
      <w:b/>
      <w:bCs/>
      <w:smallCaps/>
      <w:sz w:val="24"/>
      <w:szCs w:val="24"/>
      <w:lang w:eastAsia="es-ES"/>
    </w:rPr>
  </w:style>
  <w:style w:type="character" w:customStyle="1" w:styleId="Ttulo3Car">
    <w:name w:val="Título 3 Car"/>
    <w:basedOn w:val="Fuentedeprrafopredeter"/>
    <w:link w:val="Ttulo3"/>
    <w:uiPriority w:val="9"/>
    <w:rsid w:val="007C411D"/>
    <w:rPr>
      <w:rFonts w:ascii="Calibri Light" w:eastAsia="Times New Roman" w:hAnsi="Calibri Light" w:cs="Times New Roman"/>
      <w:b/>
      <w:bCs/>
      <w:sz w:val="26"/>
      <w:szCs w:val="26"/>
      <w:lang w:eastAsia="es-ES"/>
    </w:rPr>
  </w:style>
  <w:style w:type="character" w:customStyle="1" w:styleId="Ttulo2Car">
    <w:name w:val="Título 2 Car"/>
    <w:basedOn w:val="Fuentedeprrafopredeter"/>
    <w:link w:val="Ttulo2"/>
    <w:uiPriority w:val="9"/>
    <w:rsid w:val="007C411D"/>
    <w:rPr>
      <w:rFonts w:ascii="Trebuchet MS" w:eastAsia="Times New Roman" w:hAnsi="Trebuchet MS" w:cs="Times New Roman"/>
      <w:b/>
      <w:bCs/>
      <w:sz w:val="24"/>
      <w:szCs w:val="24"/>
      <w:lang w:eastAsia="es-ES"/>
    </w:rPr>
  </w:style>
  <w:style w:type="paragraph" w:styleId="Prrafodelista">
    <w:name w:val="List Paragraph"/>
    <w:basedOn w:val="Normal"/>
    <w:uiPriority w:val="34"/>
    <w:qFormat/>
    <w:rsid w:val="00EE7D93"/>
    <w:pPr>
      <w:ind w:left="720"/>
      <w:contextualSpacing/>
    </w:pPr>
  </w:style>
  <w:style w:type="paragraph" w:styleId="Descripcin">
    <w:name w:val="caption"/>
    <w:basedOn w:val="Normal"/>
    <w:next w:val="Normal"/>
    <w:uiPriority w:val="35"/>
    <w:unhideWhenUsed/>
    <w:qFormat/>
    <w:rsid w:val="00EE7D93"/>
    <w:pPr>
      <w:keepNext/>
      <w:jc w:val="center"/>
    </w:pPr>
    <w:rPr>
      <w:b/>
      <w:bCs/>
      <w:sz w:val="20"/>
      <w:szCs w:val="20"/>
    </w:rPr>
  </w:style>
  <w:style w:type="paragraph" w:customStyle="1" w:styleId="Figura">
    <w:name w:val="Figura"/>
    <w:basedOn w:val="Normal"/>
    <w:qFormat/>
    <w:rsid w:val="00EE7D93"/>
    <w:pPr>
      <w:spacing w:after="0" w:line="240" w:lineRule="auto"/>
      <w:jc w:val="center"/>
    </w:pPr>
    <w:rPr>
      <w:noProof/>
    </w:rPr>
  </w:style>
  <w:style w:type="paragraph" w:customStyle="1" w:styleId="EncabezadoTabla">
    <w:name w:val="EncabezadoTabla"/>
    <w:basedOn w:val="Normal"/>
    <w:qFormat/>
    <w:rsid w:val="00EB7F5A"/>
    <w:pPr>
      <w:spacing w:after="120" w:line="240" w:lineRule="auto"/>
      <w:jc w:val="center"/>
    </w:pPr>
    <w:rPr>
      <w:b/>
    </w:rPr>
  </w:style>
  <w:style w:type="paragraph" w:customStyle="1" w:styleId="TextoTabla">
    <w:name w:val="TextoTabla"/>
    <w:basedOn w:val="Normal"/>
    <w:qFormat/>
    <w:rsid w:val="00EB7F5A"/>
    <w:pPr>
      <w:spacing w:after="120" w:line="240" w:lineRule="auto"/>
      <w:jc w:val="left"/>
    </w:pPr>
    <w:rPr>
      <w:sz w:val="22"/>
    </w:rPr>
  </w:style>
  <w:style w:type="paragraph" w:styleId="Bibliografa">
    <w:name w:val="Bibliography"/>
    <w:basedOn w:val="Normal"/>
    <w:next w:val="Normal"/>
    <w:uiPriority w:val="37"/>
    <w:unhideWhenUsed/>
    <w:rsid w:val="00D70D85"/>
    <w:pPr>
      <w:ind w:left="720" w:hanging="720"/>
      <w:jc w:val="left"/>
    </w:pPr>
    <w:rPr>
      <w:szCs w:val="20"/>
    </w:rPr>
  </w:style>
  <w:style w:type="character" w:customStyle="1" w:styleId="Ttulo4Car">
    <w:name w:val="Título 4 Car"/>
    <w:basedOn w:val="Fuentedeprrafopredeter"/>
    <w:link w:val="Ttulo4"/>
    <w:uiPriority w:val="9"/>
    <w:semiHidden/>
    <w:rsid w:val="00BD502E"/>
    <w:rPr>
      <w:rFonts w:ascii="Times New Roman" w:eastAsiaTheme="majorEastAsia" w:hAnsi="Times New Roman" w:cstheme="majorBidi"/>
      <w:b/>
      <w:i/>
      <w:iCs/>
      <w:sz w:val="24"/>
      <w:szCs w:val="24"/>
      <w:lang w:eastAsia="es-ES"/>
    </w:rPr>
  </w:style>
  <w:style w:type="paragraph" w:customStyle="1" w:styleId="TtiuloComunicacin">
    <w:name w:val="T´tiuloComunicación"/>
    <w:basedOn w:val="Ttulo1"/>
    <w:qFormat/>
    <w:rsid w:val="00BD502E"/>
    <w:pPr>
      <w:spacing w:line="240" w:lineRule="auto"/>
      <w:jc w:val="center"/>
    </w:pPr>
    <w:rPr>
      <w:sz w:val="28"/>
      <w:lang w:val="es-ES_tradnl"/>
    </w:rPr>
  </w:style>
  <w:style w:type="paragraph" w:styleId="Cita">
    <w:name w:val="Quote"/>
    <w:basedOn w:val="Normal"/>
    <w:next w:val="Normal"/>
    <w:link w:val="CitaCar"/>
    <w:uiPriority w:val="29"/>
    <w:qFormat/>
    <w:rsid w:val="006726C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726C1"/>
    <w:rPr>
      <w:rFonts w:ascii="Times New Roman" w:eastAsia="Times New Roman" w:hAnsi="Times New Roman" w:cs="Times New Roman"/>
      <w:i/>
      <w:iCs/>
      <w:color w:val="404040" w:themeColor="text1" w:themeTint="BF"/>
      <w:sz w:val="24"/>
      <w:szCs w:val="24"/>
      <w:lang w:eastAsia="es-ES"/>
    </w:rPr>
  </w:style>
  <w:style w:type="paragraph" w:styleId="Citadestacada">
    <w:name w:val="Intense Quote"/>
    <w:basedOn w:val="Normal"/>
    <w:next w:val="Normal"/>
    <w:link w:val="CitadestacadaCar"/>
    <w:uiPriority w:val="30"/>
    <w:qFormat/>
    <w:rsid w:val="006726C1"/>
    <w:pPr>
      <w:pBdr>
        <w:top w:val="single" w:sz="4" w:space="10" w:color="B31513" w:themeColor="accent1"/>
        <w:bottom w:val="single" w:sz="4" w:space="10" w:color="B31513" w:themeColor="accent1"/>
      </w:pBdr>
      <w:spacing w:before="360" w:after="360"/>
      <w:ind w:left="864" w:right="864"/>
      <w:jc w:val="center"/>
    </w:pPr>
    <w:rPr>
      <w:i/>
      <w:iCs/>
      <w:color w:val="B31513" w:themeColor="accent1"/>
    </w:rPr>
  </w:style>
  <w:style w:type="character" w:customStyle="1" w:styleId="CitadestacadaCar">
    <w:name w:val="Cita destacada Car"/>
    <w:basedOn w:val="Fuentedeprrafopredeter"/>
    <w:link w:val="Citadestacada"/>
    <w:uiPriority w:val="30"/>
    <w:rsid w:val="006726C1"/>
    <w:rPr>
      <w:rFonts w:ascii="Times New Roman" w:eastAsia="Times New Roman" w:hAnsi="Times New Roman" w:cs="Times New Roman"/>
      <w:i/>
      <w:iCs/>
      <w:color w:val="B31513" w:themeColor="accent1"/>
      <w:sz w:val="24"/>
      <w:szCs w:val="24"/>
      <w:lang w:eastAsia="es-ES"/>
    </w:rPr>
  </w:style>
  <w:style w:type="character" w:styleId="nfasisintenso">
    <w:name w:val="Intense Emphasis"/>
    <w:basedOn w:val="Fuentedeprrafopredeter"/>
    <w:uiPriority w:val="21"/>
    <w:qFormat/>
    <w:rsid w:val="006726C1"/>
    <w:rPr>
      <w:rFonts w:ascii="Times New Roman" w:hAnsi="Times New Roman"/>
      <w:b/>
      <w:i/>
      <w:iCs/>
      <w:color w:val="B31513" w:themeColor="accent1"/>
    </w:rPr>
  </w:style>
  <w:style w:type="character" w:styleId="nfasis">
    <w:name w:val="Emphasis"/>
    <w:basedOn w:val="Fuentedeprrafopredeter"/>
    <w:uiPriority w:val="20"/>
    <w:qFormat/>
    <w:rsid w:val="006726C1"/>
    <w:rPr>
      <w:rFonts w:ascii="Times New Roman" w:hAnsi="Times New Roman"/>
      <w:b/>
      <w:i/>
      <w:iCs/>
    </w:rPr>
  </w:style>
  <w:style w:type="character" w:styleId="nfasissutil">
    <w:name w:val="Subtle Emphasis"/>
    <w:basedOn w:val="Fuentedeprrafopredeter"/>
    <w:uiPriority w:val="19"/>
    <w:qFormat/>
    <w:rsid w:val="006726C1"/>
    <w:rPr>
      <w:rFonts w:ascii="Times New Roman" w:hAnsi="Times New Roman"/>
      <w:b/>
      <w:i w:val="0"/>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9E4862"/>
    <w:rPr>
      <w:b/>
      <w:bCs/>
    </w:rPr>
  </w:style>
  <w:style w:type="character" w:customStyle="1" w:styleId="AsuntodelcomentarioCar">
    <w:name w:val="Asunto del comentario Car"/>
    <w:basedOn w:val="TextocomentarioCar"/>
    <w:link w:val="Asuntodelcomentario"/>
    <w:uiPriority w:val="99"/>
    <w:semiHidden/>
    <w:rsid w:val="009E4862"/>
    <w:rPr>
      <w:rFonts w:ascii="Times New Roman" w:eastAsia="Times New Roman" w:hAnsi="Times New Roman" w:cs="Times New Roman"/>
      <w:b/>
      <w:bCs/>
      <w:sz w:val="20"/>
      <w:szCs w:val="20"/>
      <w:lang w:eastAsia="es-ES"/>
    </w:rPr>
  </w:style>
  <w:style w:type="paragraph" w:customStyle="1" w:styleId="Lnea">
    <w:name w:val="Línea"/>
    <w:basedOn w:val="Email"/>
    <w:qFormat/>
    <w:rsid w:val="00090BB6"/>
    <w:pPr>
      <w:ind w:left="0" w:right="0"/>
      <w:jc w:val="left"/>
    </w:pPr>
    <w:rPr>
      <w:sz w:val="22"/>
      <w:lang w:val="es-ES_tradnl"/>
    </w:rPr>
  </w:style>
  <w:style w:type="character" w:styleId="Hipervnculo">
    <w:name w:val="Hyperlink"/>
    <w:basedOn w:val="Fuentedeprrafopredeter"/>
    <w:uiPriority w:val="99"/>
    <w:unhideWhenUsed/>
    <w:rsid w:val="00F76569"/>
    <w:rPr>
      <w:color w:val="4466FF" w:themeColor="hyperlink"/>
      <w:u w:val="single"/>
    </w:rPr>
  </w:style>
  <w:style w:type="character" w:customStyle="1" w:styleId="Mencinsinresolver1">
    <w:name w:val="Mención sin resolver1"/>
    <w:basedOn w:val="Fuentedeprrafopredeter"/>
    <w:uiPriority w:val="99"/>
    <w:semiHidden/>
    <w:unhideWhenUsed/>
    <w:rsid w:val="00F76569"/>
    <w:rPr>
      <w:color w:val="605E5C"/>
      <w:shd w:val="clear" w:color="auto" w:fill="E1DFDD"/>
    </w:rPr>
  </w:style>
  <w:style w:type="paragraph" w:styleId="Encabezado">
    <w:name w:val="header"/>
    <w:basedOn w:val="Normal"/>
    <w:link w:val="EncabezadoCar"/>
    <w:uiPriority w:val="99"/>
    <w:unhideWhenUsed/>
    <w:rsid w:val="003A700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3A700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A700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3A7005"/>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A7005"/>
    <w:rPr>
      <w:b/>
      <w:bCs/>
    </w:rPr>
  </w:style>
  <w:style w:type="paragraph" w:customStyle="1" w:styleId="NmerodeTabla">
    <w:name w:val="Número de Tabla"/>
    <w:basedOn w:val="Descripcin"/>
    <w:qFormat/>
    <w:rsid w:val="007069C1"/>
    <w:pPr>
      <w:spacing w:after="0" w:line="480" w:lineRule="auto"/>
      <w:jc w:val="left"/>
    </w:pPr>
    <w:rPr>
      <w:lang w:val="es-ES_tradnl"/>
    </w:rPr>
  </w:style>
  <w:style w:type="paragraph" w:customStyle="1" w:styleId="Ttulodetabla">
    <w:name w:val="Título de tabla"/>
    <w:basedOn w:val="Descripcin"/>
    <w:qFormat/>
    <w:rsid w:val="007069C1"/>
    <w:pPr>
      <w:spacing w:before="0" w:after="0" w:line="480" w:lineRule="auto"/>
      <w:jc w:val="left"/>
    </w:pPr>
    <w:rPr>
      <w:b w:val="0"/>
      <w:i/>
      <w:lang w:val="es-ES_tradnl"/>
    </w:rPr>
  </w:style>
  <w:style w:type="paragraph" w:customStyle="1" w:styleId="Nmerodefigura">
    <w:name w:val="Número de figura"/>
    <w:basedOn w:val="Descripcin"/>
    <w:qFormat/>
    <w:rsid w:val="007069C1"/>
    <w:pPr>
      <w:spacing w:after="0" w:line="480" w:lineRule="auto"/>
      <w:jc w:val="left"/>
    </w:pPr>
  </w:style>
  <w:style w:type="paragraph" w:customStyle="1" w:styleId="Ttulodefigura">
    <w:name w:val="Título de figura"/>
    <w:basedOn w:val="Descripcin"/>
    <w:qFormat/>
    <w:rsid w:val="007069C1"/>
    <w:pPr>
      <w:spacing w:before="0" w:after="0" w:line="480" w:lineRule="auto"/>
      <w:jc w:val="left"/>
    </w:pPr>
    <w:rPr>
      <w:b w:val="0"/>
      <w:i/>
    </w:rPr>
  </w:style>
  <w:style w:type="paragraph" w:styleId="Textonotaalfinal">
    <w:name w:val="endnote text"/>
    <w:basedOn w:val="Normal"/>
    <w:link w:val="TextonotaalfinalCar"/>
    <w:uiPriority w:val="99"/>
    <w:semiHidden/>
    <w:unhideWhenUsed/>
    <w:rsid w:val="0069037F"/>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037F"/>
    <w:rPr>
      <w:rFonts w:ascii="Trebuchet MS" w:eastAsia="Times New Roman" w:hAnsi="Trebuchet MS" w:cs="Times New Roman"/>
      <w:sz w:val="20"/>
      <w:szCs w:val="20"/>
      <w:lang w:eastAsia="es-ES"/>
    </w:rPr>
  </w:style>
  <w:style w:type="character" w:styleId="Refdenotaalfinal">
    <w:name w:val="endnote reference"/>
    <w:basedOn w:val="Fuentedeprrafopredeter"/>
    <w:uiPriority w:val="99"/>
    <w:semiHidden/>
    <w:unhideWhenUsed/>
    <w:rsid w:val="0069037F"/>
    <w:rPr>
      <w:vertAlign w:val="superscript"/>
    </w:rPr>
  </w:style>
  <w:style w:type="paragraph" w:customStyle="1" w:styleId="Ttulodereferencias">
    <w:name w:val="Título de referencias"/>
    <w:basedOn w:val="Ttulo1"/>
    <w:qFormat/>
    <w:rsid w:val="0069037F"/>
    <w:pPr>
      <w:ind w:left="0" w:firstLine="0"/>
      <w:jc w:val="center"/>
    </w:pPr>
    <w:rPr>
      <w:lang w:val="es-ES_tradnl"/>
    </w:rPr>
  </w:style>
  <w:style w:type="table" w:styleId="Tablaconcuadrcula">
    <w:name w:val="Table Grid"/>
    <w:basedOn w:val="Tablanormal"/>
    <w:uiPriority w:val="39"/>
    <w:rsid w:val="00B1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iverEduTec">
    <w:name w:val="TablaDiverEduTec"/>
    <w:basedOn w:val="Tablanormal"/>
    <w:uiPriority w:val="99"/>
    <w:rsid w:val="00B1232C"/>
    <w:pPr>
      <w:spacing w:after="0" w:line="240" w:lineRule="auto"/>
    </w:pPr>
    <w:tblPr/>
  </w:style>
  <w:style w:type="paragraph" w:styleId="Textonotapie">
    <w:name w:val="footnote text"/>
    <w:basedOn w:val="Normal"/>
    <w:link w:val="TextonotapieCar"/>
    <w:uiPriority w:val="99"/>
    <w:semiHidden/>
    <w:unhideWhenUsed/>
    <w:rsid w:val="00762880"/>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62880"/>
    <w:rPr>
      <w:rFonts w:ascii="Trebuchet MS" w:eastAsia="Times New Roman" w:hAnsi="Trebuchet MS" w:cs="Times New Roman"/>
      <w:sz w:val="20"/>
      <w:szCs w:val="20"/>
      <w:lang w:eastAsia="es-ES"/>
    </w:rPr>
  </w:style>
  <w:style w:type="character" w:styleId="Refdenotaalpie">
    <w:name w:val="footnote reference"/>
    <w:basedOn w:val="Fuentedeprrafopredeter"/>
    <w:uiPriority w:val="99"/>
    <w:semiHidden/>
    <w:unhideWhenUsed/>
    <w:rsid w:val="00762880"/>
    <w:rPr>
      <w:vertAlign w:val="superscript"/>
    </w:rPr>
  </w:style>
  <w:style w:type="character" w:styleId="Mencinsinresolver">
    <w:name w:val="Unresolved Mention"/>
    <w:basedOn w:val="Fuentedeprrafopredeter"/>
    <w:uiPriority w:val="99"/>
    <w:semiHidden/>
    <w:unhideWhenUsed/>
    <w:rsid w:val="00762880"/>
    <w:rPr>
      <w:color w:val="605E5C"/>
      <w:shd w:val="clear" w:color="auto" w:fill="E1DFDD"/>
    </w:rPr>
  </w:style>
  <w:style w:type="character" w:styleId="Textodelmarcadordeposicin">
    <w:name w:val="Placeholder Text"/>
    <w:basedOn w:val="Fuentedeprrafopredeter"/>
    <w:uiPriority w:val="99"/>
    <w:semiHidden/>
    <w:rsid w:val="006A71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6125">
      <w:bodyDiv w:val="1"/>
      <w:marLeft w:val="0"/>
      <w:marRight w:val="0"/>
      <w:marTop w:val="0"/>
      <w:marBottom w:val="0"/>
      <w:divBdr>
        <w:top w:val="none" w:sz="0" w:space="0" w:color="auto"/>
        <w:left w:val="none" w:sz="0" w:space="0" w:color="auto"/>
        <w:bottom w:val="none" w:sz="0" w:space="0" w:color="auto"/>
        <w:right w:val="none" w:sz="0" w:space="0" w:color="auto"/>
      </w:divBdr>
    </w:div>
    <w:div w:id="271128379">
      <w:bodyDiv w:val="1"/>
      <w:marLeft w:val="0"/>
      <w:marRight w:val="0"/>
      <w:marTop w:val="0"/>
      <w:marBottom w:val="0"/>
      <w:divBdr>
        <w:top w:val="none" w:sz="0" w:space="0" w:color="auto"/>
        <w:left w:val="none" w:sz="0" w:space="0" w:color="auto"/>
        <w:bottom w:val="none" w:sz="0" w:space="0" w:color="auto"/>
        <w:right w:val="none" w:sz="0" w:space="0" w:color="auto"/>
      </w:divBdr>
    </w:div>
    <w:div w:id="19348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valenzuela@uam.edu.ni" TargetMode="External"/><Relationship Id="rId13" Type="http://schemas.openxmlformats.org/officeDocument/2006/relationships/hyperlink" Target="https://doi.org/10.1590/2175-353920180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4697874177076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educacioninclusiva.es/index.php/REI/article/view/5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lo.org.mx/scielo.php?script=sci_arttext&amp;pid=S1405-66662022000300803&amp;lng=es&amp;tlng=es" TargetMode="External"/><Relationship Id="rId4" Type="http://schemas.openxmlformats.org/officeDocument/2006/relationships/settings" Target="settings.xml"/><Relationship Id="rId9" Type="http://schemas.openxmlformats.org/officeDocument/2006/relationships/hyperlink" Target="https://doi.org/10.1080/13511610.2020.182804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Evento principal">
  <a:themeElements>
    <a:clrScheme name="DiverEduTec2021">
      <a:dk1>
        <a:sysClr val="windowText" lastClr="000000"/>
      </a:dk1>
      <a:lt1>
        <a:sysClr val="window" lastClr="FFFFFF"/>
      </a:lt1>
      <a:dk2>
        <a:srgbClr val="222A35"/>
      </a:dk2>
      <a:lt2>
        <a:srgbClr val="E7E6E6"/>
      </a:lt2>
      <a:accent1>
        <a:srgbClr val="B31513"/>
      </a:accent1>
      <a:accent2>
        <a:srgbClr val="7C60C6"/>
      </a:accent2>
      <a:accent3>
        <a:srgbClr val="3D9CCC"/>
      </a:accent3>
      <a:accent4>
        <a:srgbClr val="29AF8C"/>
      </a:accent4>
      <a:accent5>
        <a:srgbClr val="97BE49"/>
      </a:accent5>
      <a:accent6>
        <a:srgbClr val="D58C2E"/>
      </a:accent6>
      <a:hlink>
        <a:srgbClr val="4466FF"/>
      </a:hlink>
      <a:folHlink>
        <a:srgbClr val="954F72"/>
      </a:folHlink>
    </a:clrScheme>
    <a:fontScheme name="Evento principal">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vento principal">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Apo18</b:Tag>
    <b:SourceType>DocumentFromInternetSite</b:SourceType>
    <b:Guid>{4C55A9F4-DCF4-4290-9736-D6D20444676D}</b:Guid>
    <b:Title>Apoya – Red CADEP Acacia</b:Title>
    <b:InternetSiteTitle>Red de CADEP Acacia</b:InternetSiteTitle>
    <b:Year>2018</b:Year>
    <b:Month>01</b:Month>
    <b:Day>01</b:Day>
    <b:URL>https://acacia.red/blog/category/apoya/</b:URL>
    <b:YearAccessed>2018</b:YearAccessed>
    <b:MonthAccessed>05</b:MonthAccessed>
    <b:DayAccessed>30</b:DayAccessed>
    <b:Author>
      <b:Author>
        <b:Corporate>ACACIA</b:Corporate>
      </b:Author>
    </b:Author>
    <b:RefOrder>1</b:RefOrder>
  </b:Source>
  <b:Source>
    <b:Tag>Apo181</b:Tag>
    <b:SourceType>DocumentFromInternetSite</b:SourceType>
    <b:Guid>{37BDEB1B-F82D-4C56-A3A2-785E42F4A95D}</b:Guid>
    <b:Title>Apoya – Red CADEP Acacia</b:Title>
    <b:InternetSiteTitle>Red de CADEP Acacia</b:InternetSiteTitle>
    <b:Year>2018</b:Year>
    <b:Month>01</b:Month>
    <b:Day>01</b:Day>
    <b:URL>https://acacia.red/blog/category/apoya/</b:URL>
    <b:YearAccessed>2018</b:YearAccessed>
    <b:MonthAccessed>05</b:MonthAccessed>
    <b:DayAccessed>30</b:DayAccessed>
    <b:RefOrder>2</b:RefOrder>
  </b:Source>
  <b:Source>
    <b:Tag>OMS01</b:Tag>
    <b:SourceType>Book</b:SourceType>
    <b:Guid>{F662B386-B939-40BA-ADA8-E1B93A4FF05B}</b:Guid>
    <b:Author>
      <b:Author>
        <b:Corporate>OMS</b:Corporate>
      </b:Author>
    </b:Author>
    <b:Title>CIF: Clasificación Internacional del Funcionamiento, de la Discapacidad y de la Salud.</b:Title>
    <b:Year>2001</b:Year>
    <b:URL>OMS. (2001). CIF: Clasificación Internacional del Funcionamiento, la discapacidad y la salud. Retrieved from http://www.imserso.es/InterPresent2/groups/imserso/documents/binario/435cif.pdf</b:URL>
    <b:ShortTitle>CIF</b:ShortTitle>
    <b:YearAccessed>2018</b:YearAccessed>
    <b:MonthAccessed>08</b:MonthAccessed>
    <b:DayAccessed>10</b:DayAccessed>
    <b:RefOrder>3</b:RefOrder>
  </b:Source>
  <b:Source>
    <b:Tag>ONU06</b:Tag>
    <b:SourceType>DocumentFromInternetSite</b:SourceType>
    <b:Guid>{667CFB0D-47BC-4DFC-9625-FB2E3F6CC871}</b:Guid>
    <b:Author>
      <b:Author>
        <b:Corporate>ONU</b:Corporate>
      </b:Author>
    </b:Author>
    <b:Title>Convención sobre los derechos de las personas con discapacidad</b:Title>
    <b:InternetSiteTitle>Enable -Convención sobre los derechos de las personas con discapacidad</b:InternetSiteTitle>
    <b:Year>2006</b:Year>
    <b:Month>12</b:Month>
    <b:Day>13</b:Day>
    <b:URL>http://www.un.org/disabilities/documents/convention/convoptprot-s.pdf</b:URL>
    <b:YearAccessed>2018</b:YearAccessed>
    <b:MonthAccessed>05</b:MonthAccessed>
    <b:DayAccessed>30</b:DayAccessed>
    <b:RefOrder>4</b:RefOrder>
  </b:Source>
  <b:Source>
    <b:Tag>ONU16</b:Tag>
    <b:SourceType>DocumentFromInternetSite</b:SourceType>
    <b:Guid>{1D2F3361-12C8-40E5-B63F-1C16D9459BA0}</b:Guid>
    <b:Author>
      <b:Author>
        <b:Corporate>ONU</b:Corporate>
      </b:Author>
    </b:Author>
    <b:Title>Derecho a la Educación Inclusiva (Art. 24 Comentario ONU, 2016 - DerechoalaEducacionInclusivaArt24.pdf</b:Title>
    <b:InternetSiteTitle>Servicio de Información sobre Discapacidad</b:InternetSiteTitle>
    <b:Year>2016</b:Year>
    <b:Month>09</b:Month>
    <b:Day>14</b:Day>
    <b:URL>http://sid.usal.es/idocs/F1/ACT56067/DerechoalaEducacionInclusivaArt24.pdf</b:URL>
    <b:YearAccessed>2017</b:YearAccessed>
    <b:MonthAccessed>10</b:MonthAccessed>
    <b:DayAccessed>15</b:DayAccessed>
    <b:RefOrder>5</b:RefOrder>
  </b:Source>
  <b:Source>
    <b:Tag>Gut18</b:Tag>
    <b:SourceType>DocumentFromInternetSite</b:SourceType>
    <b:Guid>{6ADD3DC7-5E5D-461A-987B-84F0E09B0453}</b:Guid>
    <b:Title>Accesibilidad universal en la organización de eventos. Protocolo y comunicación para todos.</b:Title>
    <b:InternetSiteTitle>Sidar, fundación y seminario</b:InternetSiteTitle>
    <b:Year>2018</b:Year>
    <b:Month>03</b:Month>
    <b:Day>08</b:Day>
    <b:URL>http://sidar.org/ponencias/2018/ccse/AccesibilidadUniversal-SIDAR.pptx</b:URL>
    <b:Author>
      <b:Author>
        <b:NameList>
          <b:Person>
            <b:Last>Gutiérrez y Restrepo</b:Last>
            <b:First>Emmanuelle</b:First>
          </b:Person>
        </b:NameList>
      </b:Author>
    </b:Author>
    <b:RefOrder>6</b:RefOrder>
  </b:Source>
  <b:Source>
    <b:Tag>Gut072</b:Tag>
    <b:SourceType>DocumentFromInternetSite</b:SourceType>
    <b:Guid>{21C18F48-9E22-4B52-ACAB-5385BD8F766D}</b:Guid>
    <b:Title>Aplicación de la terminología propuesta por la Clasificación Internacional del Funcionamiento, de la Discapacidad y de la Salud (CIF)</b:Title>
    <b:InternetSiteTitle>Sidar, Fundación y Seminario</b:InternetSiteTitle>
    <b:Year>2007</b:Year>
    <b:Month>10</b:Month>
    <b:Day>07</b:Day>
    <b:URL>http://www.sidar.org/recur/desdi/pau/cif.php</b:URL>
    <b:Author>
      <b:Author>
        <b:NameList>
          <b:Person>
            <b:Last>Gutiérrez y Restrepo</b:Last>
            <b:First>Emmanuelle</b:First>
          </b:Person>
        </b:NameList>
      </b:Author>
    </b:Author>
    <b:YearAccessed>2018</b:YearAccessed>
    <b:MonthAccessed>03</b:MonthAccessed>
    <b:DayAccessed>08</b:DayAccessed>
    <b:RefOrder>7</b:RefOrder>
  </b:Source>
  <b:Source>
    <b:Tag>Gut181</b:Tag>
    <b:SourceType>DocumentFromInternetSite</b:SourceType>
    <b:Guid>{5B5F65D9-8F58-4137-A8C4-4EFD5C76247C}</b:Guid>
    <b:Title>Cómo crear presentaciones accesibles</b:Title>
    <b:InternetSiteTitle>Fundación y Seminario Sidar</b:InternetSiteTitle>
    <b:Year>2018</b:Year>
    <b:Author>
      <b:Author>
        <b:NameList>
          <b:Person>
            <b:Last>Gutiérrez y Restrepo</b:Last>
            <b:First>Emmanuelle</b:First>
          </b:Person>
        </b:NameList>
      </b:Author>
    </b:Author>
    <b:Month>03</b:Month>
    <b:Day>08</b:Day>
    <b:URL>http://sidar.org/presentacionesaccesibles/</b:URL>
    <b:YearAccessed>2018</b:YearAccessed>
    <b:MonthAccessed>04</b:MonthAccessed>
    <b:DayAccessed>15</b:DayAccessed>
    <b:RefOrder>8</b:RefOrder>
  </b:Source>
  <b:Source>
    <b:Tag>Gut131</b:Tag>
    <b:SourceType>BookSection</b:SourceType>
    <b:Guid>{B117BA49-6B18-4D02-B4DA-F01E598DA948}</b:Guid>
    <b:Title>Lo que desconocemos que conocemos sobre accesibilidad y usabilidad</b:Title>
    <b:Year>2013</b:Year>
    <b:BookTitle>Pioneros y hacedores. Fundamentos de casos de diseño de interacción con estándares de accesibilidad y usabilidad.</b:BookTitle>
    <b:Publisher>Ediciones Godot</b:Publisher>
    <b:Author>
      <b:Author>
        <b:NameList>
          <b:Person>
            <b:Last>Gutiérrez y Restrepo</b:Last>
            <b:First>Emmanuelle</b:First>
          </b:Person>
        </b:NameList>
      </b:Author>
      <b:BookAuthor>
        <b:NameList>
          <b:Person>
            <b:Last>Spool</b:Last>
            <b:First>Jared</b:First>
          </b:Person>
          <b:Person>
            <b:Last>Krug</b:Last>
            <b:First>Steve</b:First>
          </b:Person>
          <b:Person>
            <b:Last>Nielsen</b:Last>
            <b:First>Jacob</b:First>
          </b:Person>
          <b:Person>
            <b:Last>Norman</b:Last>
            <b:First>Don</b:First>
          </b:Person>
          <b:Person>
            <b:Last>Löwgren</b:Last>
            <b:First>Jonas</b:First>
          </b:Person>
          <b:Person>
            <b:Last>Dyson</b:Last>
            <b:First>Laurel</b:First>
            <b:Middle>Evelyn</b:Middle>
          </b:Person>
          <b:Person>
            <b:Last>Robertson</b:Last>
            <b:First>Toni</b:First>
          </b:Person>
          <b:Person>
            <b:Last>Grant</b:Last>
            <b:First>Stephen</b:First>
          </b:Person>
          <b:Person>
            <b:Last>Montero</b:Last>
            <b:First>Yusef</b:First>
            <b:Middle>Hassan</b:Middle>
          </b:Person>
          <b:Person>
            <b:Last>Ortega Santamaría</b:Last>
            <b:First>Sergio</b:First>
          </b:Person>
          <b:Person>
            <b:Last>Arango</b:Last>
            <b:First>Jorge</b:First>
          </b:Person>
          <b:Person>
            <b:Last>Carreras Montoto</b:Last>
            <b:First>Olga</b:First>
          </b:Person>
          <b:Person>
            <b:Last>García de la Torre</b:Last>
            <b:First>J.</b:First>
            <b:Middle>M.</b:Middle>
          </b:Person>
          <b:Person>
            <b:Last>Márquez Quintanilla</b:Last>
            <b:First>D.</b:First>
          </b:Person>
          <b:Person>
            <b:Last>Gutiérrez y Restrepo</b:Last>
            <b:First>Emmanuelle</b:First>
          </b:Person>
          <b:Person>
            <b:Last>Betti</b:Last>
            <b:First>Sebastián</b:First>
          </b:Person>
          <b:Person>
            <b:Last>Marcos</b:Last>
            <b:First>Mari-Carmen</b:First>
          </b:Person>
          <b:Person>
            <b:Last>Mansilla</b:Last>
            <b:First>Verónica</b:First>
          </b:Person>
          <b:Person>
            <b:Last>Razzari</b:Last>
            <b:First>Manuel</b:First>
          </b:Person>
          <b:Person>
            <b:Last>Traynor</b:Last>
            <b:First>Verónica</b:First>
          </b:Person>
          <b:Person>
            <b:Last>Segovia</b:Last>
            <b:First>Claudio</b:First>
          </b:Person>
          <b:Person>
            <b:Last>Salgado</b:Last>
            <b:First>Mariana</b:First>
          </b:Person>
        </b:NameList>
      </b:BookAuthor>
      <b:Editor>
        <b:NameList>
          <b:Person>
            <b:Last>Malumian</b:Last>
            <b:First>Víctor</b:First>
          </b:Person>
          <b:Person>
            <b:Last>Paz</b:Last>
            <b:First>Lorena</b:First>
          </b:Person>
        </b:NameList>
      </b:Editor>
    </b:Author>
    <b:ChapterNumber>11</b:ChapterNumber>
    <b:StandardNumber>978-987-1489-72-5</b:StandardNumber>
    <b:Pages>294</b:Pages>
    <b:RefOrder>9</b:RefOrder>
  </b:Source>
</b:Sources>
</file>

<file path=customXml/itemProps1.xml><?xml version="1.0" encoding="utf-8"?>
<ds:datastoreItem xmlns:ds="http://schemas.openxmlformats.org/officeDocument/2006/customXml" ds:itemID="{0D19D117-18D2-4811-8140-9CE0EDBD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2447</Words>
  <Characters>13460</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Gutiérrez y Restrepo</dc:creator>
  <cp:keywords/>
  <dc:description/>
  <cp:lastModifiedBy>Juana Mercedes Zapata Espinoza</cp:lastModifiedBy>
  <cp:revision>2</cp:revision>
  <cp:lastPrinted>2018-08-19T14:24:00Z</cp:lastPrinted>
  <dcterms:created xsi:type="dcterms:W3CDTF">2025-07-03T23:45:00Z</dcterms:created>
  <dcterms:modified xsi:type="dcterms:W3CDTF">2025-07-03T23:45:00Z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